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46EAD" w14:textId="77777777" w:rsidR="005511AE" w:rsidRPr="009747F0" w:rsidRDefault="005511AE" w:rsidP="005511AE">
      <w:pPr>
        <w:jc w:val="center"/>
        <w:rPr>
          <w:rFonts w:ascii="Calibri" w:eastAsia="Calibri" w:hAnsi="Calibri"/>
          <w:b/>
          <w:sz w:val="36"/>
          <w:szCs w:val="36"/>
        </w:rPr>
      </w:pPr>
      <w:r w:rsidRPr="00417E71">
        <w:rPr>
          <w:rFonts w:ascii="Calibri" w:eastAsia="Calibri" w:hAnsi="Calibri"/>
          <w:b/>
          <w:sz w:val="36"/>
          <w:szCs w:val="36"/>
        </w:rPr>
        <w:t>Commentary Anchor Chart</w:t>
      </w:r>
    </w:p>
    <w:p w14:paraId="5EC68C6E" w14:textId="77777777" w:rsidR="00D31CD3" w:rsidRPr="0063760C" w:rsidRDefault="00D31CD3" w:rsidP="00D31CD3">
      <w:pPr>
        <w:rPr>
          <w:rFonts w:ascii="Calibri" w:hAnsi="Calibri" w:cs="Calibri"/>
          <w:sz w:val="36"/>
          <w:szCs w:val="36"/>
        </w:rPr>
      </w:pPr>
      <w:r w:rsidRPr="0063760C">
        <w:rPr>
          <w:rFonts w:ascii="Calibri" w:hAnsi="Calibri" w:cs="Calibri"/>
          <w:b/>
          <w:sz w:val="36"/>
          <w:szCs w:val="36"/>
        </w:rPr>
        <w:t xml:space="preserve">Commentary – </w:t>
      </w:r>
      <w:r w:rsidRPr="0063760C">
        <w:rPr>
          <w:rFonts w:ascii="Calibri" w:hAnsi="Calibri" w:cs="Calibri"/>
          <w:sz w:val="36"/>
          <w:szCs w:val="36"/>
        </w:rPr>
        <w:t>sentences in an argument paragraph that explain what is important about the evidence and tell the reader how it proves and supports the claim.</w:t>
      </w:r>
    </w:p>
    <w:p w14:paraId="020650E6" w14:textId="77777777" w:rsidR="005511AE" w:rsidRDefault="005511AE" w:rsidP="005511AE">
      <w:pPr>
        <w:jc w:val="center"/>
        <w:rPr>
          <w:rFonts w:ascii="Calibri" w:eastAsia="Calibri" w:hAnsi="Calibri"/>
          <w:sz w:val="20"/>
          <w:szCs w:val="20"/>
        </w:rPr>
      </w:pPr>
      <w:r>
        <w:rPr>
          <w:noProof/>
        </w:rPr>
        <w:drawing>
          <wp:inline distT="0" distB="0" distL="0" distR="0" wp14:anchorId="228C3A82" wp14:editId="78AD5262">
            <wp:extent cx="4457700" cy="2428875"/>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75A4179" w14:textId="77777777" w:rsidR="005511AE" w:rsidRDefault="005511AE" w:rsidP="005511AE">
      <w:pPr>
        <w:rPr>
          <w:rFonts w:ascii="Calibri" w:eastAsia="Calibri" w:hAnsi="Calibri"/>
          <w:sz w:val="20"/>
          <w:szCs w:val="20"/>
        </w:rPr>
      </w:pPr>
    </w:p>
    <w:p w14:paraId="6C8EA875" w14:textId="77777777" w:rsidR="005511AE" w:rsidRDefault="005511AE" w:rsidP="005511AE">
      <w:pPr>
        <w:rPr>
          <w:rFonts w:ascii="Calibri" w:eastAsia="Calibri" w:hAnsi="Calibri"/>
          <w:sz w:val="20"/>
          <w:szCs w:val="20"/>
        </w:rPr>
      </w:pPr>
    </w:p>
    <w:p w14:paraId="37E177C2" w14:textId="77777777" w:rsidR="005511AE" w:rsidRPr="0063760C" w:rsidRDefault="005511AE" w:rsidP="005511AE">
      <w:pPr>
        <w:jc w:val="center"/>
        <w:rPr>
          <w:rFonts w:ascii="Calibri" w:eastAsia="Calibri" w:hAnsi="Calibri"/>
          <w:b/>
          <w:sz w:val="36"/>
          <w:szCs w:val="36"/>
        </w:rPr>
      </w:pPr>
      <w:r w:rsidRPr="0063760C">
        <w:rPr>
          <w:rFonts w:ascii="Calibri" w:eastAsia="Calibri" w:hAnsi="Calibri"/>
          <w:b/>
          <w:sz w:val="36"/>
          <w:szCs w:val="36"/>
        </w:rPr>
        <w:t>Questions for Writing Commentary – Ask Yourself:</w:t>
      </w:r>
    </w:p>
    <w:p w14:paraId="5FBC0CA4" w14:textId="77777777" w:rsidR="005511AE" w:rsidRPr="0063760C" w:rsidRDefault="005511AE" w:rsidP="005511AE">
      <w:pPr>
        <w:numPr>
          <w:ilvl w:val="0"/>
          <w:numId w:val="1"/>
        </w:numPr>
        <w:rPr>
          <w:rFonts w:ascii="Calibri" w:eastAsia="Calibri" w:hAnsi="Calibri"/>
          <w:sz w:val="36"/>
          <w:szCs w:val="36"/>
        </w:rPr>
      </w:pPr>
      <w:r w:rsidRPr="0063760C">
        <w:rPr>
          <w:rFonts w:ascii="Calibri" w:eastAsia="Calibri" w:hAnsi="Calibri"/>
          <w:b/>
          <w:sz w:val="36"/>
          <w:szCs w:val="36"/>
        </w:rPr>
        <w:t>What</w:t>
      </w:r>
      <w:r w:rsidRPr="0063760C">
        <w:rPr>
          <w:rFonts w:ascii="Calibri" w:eastAsia="Calibri" w:hAnsi="Calibri"/>
          <w:sz w:val="36"/>
          <w:szCs w:val="36"/>
        </w:rPr>
        <w:t xml:space="preserve"> do I need to make sure the reader understands about this evidence? (Re-explain the evidence.)</w:t>
      </w:r>
    </w:p>
    <w:p w14:paraId="4C3DCE23" w14:textId="77777777" w:rsidR="005511AE" w:rsidRPr="0063760C" w:rsidRDefault="005511AE" w:rsidP="005511AE">
      <w:pPr>
        <w:numPr>
          <w:ilvl w:val="0"/>
          <w:numId w:val="1"/>
        </w:numPr>
        <w:rPr>
          <w:rFonts w:ascii="Calibri" w:eastAsia="Calibri" w:hAnsi="Calibri"/>
          <w:b/>
          <w:sz w:val="36"/>
          <w:szCs w:val="36"/>
        </w:rPr>
      </w:pPr>
      <w:r w:rsidRPr="0063760C">
        <w:rPr>
          <w:rFonts w:ascii="Calibri" w:eastAsia="Calibri" w:hAnsi="Calibri"/>
          <w:b/>
          <w:sz w:val="36"/>
          <w:szCs w:val="36"/>
        </w:rPr>
        <w:t>Why</w:t>
      </w:r>
      <w:r w:rsidRPr="0063760C">
        <w:rPr>
          <w:rFonts w:ascii="Calibri" w:eastAsia="Calibri" w:hAnsi="Calibri"/>
          <w:sz w:val="36"/>
          <w:szCs w:val="36"/>
        </w:rPr>
        <w:t xml:space="preserve"> is this evidence especially important?</w:t>
      </w:r>
    </w:p>
    <w:p w14:paraId="7A19F764" w14:textId="77777777" w:rsidR="005511AE" w:rsidRPr="0063760C" w:rsidRDefault="005511AE" w:rsidP="005511AE">
      <w:pPr>
        <w:numPr>
          <w:ilvl w:val="0"/>
          <w:numId w:val="1"/>
        </w:numPr>
        <w:rPr>
          <w:rFonts w:ascii="Calibri" w:eastAsia="Calibri" w:hAnsi="Calibri"/>
          <w:b/>
          <w:sz w:val="36"/>
          <w:szCs w:val="36"/>
        </w:rPr>
      </w:pPr>
      <w:r w:rsidRPr="0063760C">
        <w:rPr>
          <w:rFonts w:ascii="Calibri" w:eastAsia="Calibri" w:hAnsi="Calibri"/>
          <w:b/>
          <w:sz w:val="36"/>
          <w:szCs w:val="36"/>
        </w:rPr>
        <w:t>How</w:t>
      </w:r>
      <w:r w:rsidRPr="0063760C">
        <w:rPr>
          <w:rFonts w:ascii="Calibri" w:eastAsia="Calibri" w:hAnsi="Calibri"/>
          <w:sz w:val="36"/>
          <w:szCs w:val="36"/>
        </w:rPr>
        <w:t xml:space="preserve"> does it prove and support the claim?</w:t>
      </w:r>
    </w:p>
    <w:p w14:paraId="5134BFFF" w14:textId="77777777" w:rsidR="005511AE" w:rsidRDefault="005511AE" w:rsidP="005511AE">
      <w:pPr>
        <w:jc w:val="center"/>
        <w:rPr>
          <w:rFonts w:ascii="Calibri" w:eastAsia="Calibri" w:hAnsi="Calibri"/>
          <w:b/>
          <w:sz w:val="28"/>
          <w:szCs w:val="28"/>
        </w:rPr>
      </w:pPr>
    </w:p>
    <w:p w14:paraId="6FB67F76" w14:textId="77777777" w:rsidR="005511AE" w:rsidRPr="0063760C" w:rsidRDefault="005511AE" w:rsidP="005511AE">
      <w:pPr>
        <w:jc w:val="center"/>
        <w:rPr>
          <w:rFonts w:ascii="Calibri" w:eastAsia="Calibri" w:hAnsi="Calibri"/>
          <w:b/>
          <w:sz w:val="36"/>
          <w:szCs w:val="36"/>
        </w:rPr>
      </w:pPr>
      <w:r w:rsidRPr="0063760C">
        <w:rPr>
          <w:rFonts w:ascii="Calibri" w:eastAsia="Calibri" w:hAnsi="Calibri"/>
          <w:b/>
          <w:sz w:val="36"/>
          <w:szCs w:val="36"/>
        </w:rPr>
        <w:t>The Importance of BECAUSE</w:t>
      </w:r>
    </w:p>
    <w:p w14:paraId="4744CC4D" w14:textId="77777777" w:rsidR="005511AE" w:rsidRPr="0063760C" w:rsidRDefault="005511AE" w:rsidP="005511AE">
      <w:pPr>
        <w:rPr>
          <w:rFonts w:ascii="Calibri" w:eastAsia="Calibri" w:hAnsi="Calibri"/>
          <w:sz w:val="36"/>
          <w:szCs w:val="36"/>
        </w:rPr>
      </w:pPr>
      <w:r w:rsidRPr="0063760C">
        <w:rPr>
          <w:rFonts w:ascii="Calibri" w:eastAsia="Calibri" w:hAnsi="Calibri"/>
          <w:sz w:val="36"/>
          <w:szCs w:val="36"/>
        </w:rPr>
        <w:t xml:space="preserve">“Because” is a word that tells a reader they are about to hear an explanation.  It signals </w:t>
      </w:r>
      <w:r w:rsidRPr="0063760C">
        <w:rPr>
          <w:rFonts w:ascii="Calibri" w:eastAsia="Calibri" w:hAnsi="Calibri"/>
          <w:b/>
          <w:sz w:val="36"/>
          <w:szCs w:val="36"/>
        </w:rPr>
        <w:t>significance</w:t>
      </w:r>
      <w:r w:rsidRPr="0063760C">
        <w:rPr>
          <w:rFonts w:ascii="Calibri" w:eastAsia="Calibri" w:hAnsi="Calibri"/>
          <w:sz w:val="36"/>
          <w:szCs w:val="36"/>
        </w:rPr>
        <w:t xml:space="preserve"> and </w:t>
      </w:r>
      <w:r w:rsidRPr="0063760C">
        <w:rPr>
          <w:rFonts w:ascii="Calibri" w:eastAsia="Calibri" w:hAnsi="Calibri"/>
          <w:b/>
          <w:sz w:val="36"/>
          <w:szCs w:val="36"/>
        </w:rPr>
        <w:t>relationship</w:t>
      </w:r>
      <w:r w:rsidRPr="0063760C">
        <w:rPr>
          <w:rFonts w:ascii="Calibri" w:eastAsia="Calibri" w:hAnsi="Calibri"/>
          <w:sz w:val="36"/>
          <w:szCs w:val="36"/>
        </w:rPr>
        <w:t xml:space="preserve">.  It’s an effective word to use when writing commentary.  </w:t>
      </w:r>
      <w:proofErr w:type="gramStart"/>
      <w:r w:rsidRPr="0063760C">
        <w:rPr>
          <w:rFonts w:ascii="Calibri" w:eastAsia="Calibri" w:hAnsi="Calibri"/>
          <w:sz w:val="36"/>
          <w:szCs w:val="36"/>
        </w:rPr>
        <w:t>Take a look</w:t>
      </w:r>
      <w:proofErr w:type="gramEnd"/>
      <w:r w:rsidRPr="0063760C">
        <w:rPr>
          <w:rFonts w:ascii="Calibri" w:eastAsia="Calibri" w:hAnsi="Calibri"/>
          <w:sz w:val="36"/>
          <w:szCs w:val="36"/>
        </w:rPr>
        <w:t>:</w:t>
      </w:r>
    </w:p>
    <w:p w14:paraId="355E7852" w14:textId="77777777" w:rsidR="005511AE" w:rsidRPr="0063760C" w:rsidRDefault="005511AE" w:rsidP="005511AE">
      <w:pPr>
        <w:rPr>
          <w:rFonts w:ascii="Calibri" w:eastAsia="Calibri" w:hAnsi="Calibri"/>
          <w:b/>
          <w:sz w:val="36"/>
          <w:szCs w:val="36"/>
        </w:rPr>
      </w:pPr>
    </w:p>
    <w:p w14:paraId="043AAD2C" w14:textId="77777777" w:rsidR="005511AE" w:rsidRPr="0063760C" w:rsidRDefault="005511AE" w:rsidP="005511AE">
      <w:pPr>
        <w:numPr>
          <w:ilvl w:val="0"/>
          <w:numId w:val="2"/>
        </w:numPr>
        <w:rPr>
          <w:rFonts w:ascii="Calibri" w:eastAsia="Calibri" w:hAnsi="Calibri"/>
          <w:sz w:val="36"/>
          <w:szCs w:val="36"/>
        </w:rPr>
      </w:pPr>
      <w:r w:rsidRPr="0063760C">
        <w:rPr>
          <w:rFonts w:ascii="Calibri" w:eastAsia="Calibri" w:hAnsi="Calibri"/>
          <w:sz w:val="36"/>
          <w:szCs w:val="36"/>
        </w:rPr>
        <w:t xml:space="preserve">These statistics are important </w:t>
      </w:r>
      <w:r w:rsidRPr="0063760C">
        <w:rPr>
          <w:rFonts w:ascii="Calibri" w:eastAsia="Calibri" w:hAnsi="Calibri"/>
          <w:b/>
          <w:i/>
          <w:sz w:val="36"/>
          <w:szCs w:val="36"/>
          <w:u w:val="single"/>
        </w:rPr>
        <w:t>because</w:t>
      </w:r>
      <w:r w:rsidRPr="0063760C">
        <w:rPr>
          <w:rFonts w:ascii="Calibri" w:eastAsia="Calibri" w:hAnsi="Calibri"/>
          <w:sz w:val="36"/>
          <w:szCs w:val="36"/>
        </w:rPr>
        <w:t xml:space="preserve"> they </w:t>
      </w:r>
      <w:r w:rsidRPr="0063760C">
        <w:rPr>
          <w:rFonts w:ascii="Calibri" w:eastAsia="Calibri" w:hAnsi="Calibri"/>
          <w:sz w:val="36"/>
          <w:szCs w:val="36"/>
          <w:u w:val="single"/>
        </w:rPr>
        <w:t>point to</w:t>
      </w:r>
      <w:r w:rsidRPr="0063760C">
        <w:rPr>
          <w:rFonts w:ascii="Calibri" w:eastAsia="Calibri" w:hAnsi="Calibri"/>
          <w:sz w:val="36"/>
          <w:szCs w:val="36"/>
        </w:rPr>
        <w:t xml:space="preserve"> the effects of poor nutrition and how serious the school lunch problem is. </w:t>
      </w:r>
    </w:p>
    <w:p w14:paraId="5A121A1E" w14:textId="77777777" w:rsidR="005511AE" w:rsidRPr="0063760C" w:rsidRDefault="005511AE" w:rsidP="005511AE">
      <w:pPr>
        <w:numPr>
          <w:ilvl w:val="0"/>
          <w:numId w:val="2"/>
        </w:numPr>
        <w:rPr>
          <w:rFonts w:ascii="Calibri" w:eastAsia="Calibri" w:hAnsi="Calibri"/>
          <w:sz w:val="36"/>
          <w:szCs w:val="36"/>
        </w:rPr>
      </w:pPr>
      <w:r w:rsidRPr="0063760C">
        <w:rPr>
          <w:rFonts w:ascii="Calibri" w:eastAsia="Calibri" w:hAnsi="Calibri"/>
          <w:sz w:val="36"/>
          <w:szCs w:val="36"/>
        </w:rPr>
        <w:t xml:space="preserve">Leaders and decision-makers must pay attention to such experiences </w:t>
      </w:r>
      <w:r w:rsidRPr="0063760C">
        <w:rPr>
          <w:rFonts w:ascii="Calibri" w:eastAsia="Calibri" w:hAnsi="Calibri"/>
          <w:b/>
          <w:i/>
          <w:sz w:val="36"/>
          <w:szCs w:val="36"/>
          <w:u w:val="single"/>
        </w:rPr>
        <w:t>because</w:t>
      </w:r>
      <w:r w:rsidRPr="0063760C">
        <w:rPr>
          <w:rFonts w:ascii="Calibri" w:eastAsia="Calibri" w:hAnsi="Calibri"/>
          <w:i/>
          <w:sz w:val="36"/>
          <w:szCs w:val="36"/>
          <w:u w:val="single"/>
        </w:rPr>
        <w:t xml:space="preserve"> </w:t>
      </w:r>
      <w:r w:rsidRPr="0063760C">
        <w:rPr>
          <w:rFonts w:ascii="Calibri" w:eastAsia="Calibri" w:hAnsi="Calibri"/>
          <w:sz w:val="36"/>
          <w:szCs w:val="36"/>
        </w:rPr>
        <w:t xml:space="preserve">they </w:t>
      </w:r>
      <w:r w:rsidRPr="0063760C">
        <w:rPr>
          <w:rFonts w:ascii="Calibri" w:eastAsia="Calibri" w:hAnsi="Calibri"/>
          <w:sz w:val="36"/>
          <w:szCs w:val="36"/>
          <w:u w:val="single"/>
        </w:rPr>
        <w:t>prove</w:t>
      </w:r>
      <w:r w:rsidRPr="0063760C">
        <w:rPr>
          <w:rFonts w:ascii="Calibri" w:eastAsia="Calibri" w:hAnsi="Calibri"/>
          <w:sz w:val="36"/>
          <w:szCs w:val="36"/>
        </w:rPr>
        <w:t xml:space="preserve"> that there is a relationship between what we eat and how well we learn.</w:t>
      </w:r>
    </w:p>
    <w:p w14:paraId="0380E664" w14:textId="77777777" w:rsidR="005511AE" w:rsidRDefault="005511AE" w:rsidP="005511AE">
      <w:pPr>
        <w:rPr>
          <w:rFonts w:ascii="Calibri" w:eastAsia="Calibri" w:hAnsi="Calibri"/>
          <w:b/>
          <w:sz w:val="28"/>
          <w:szCs w:val="28"/>
        </w:rPr>
      </w:pPr>
    </w:p>
    <w:p w14:paraId="174C82DE" w14:textId="77777777" w:rsidR="0063760C" w:rsidRDefault="0063760C" w:rsidP="005511AE">
      <w:pPr>
        <w:jc w:val="center"/>
        <w:rPr>
          <w:rFonts w:ascii="Calibri" w:eastAsia="Calibri" w:hAnsi="Calibri"/>
          <w:b/>
          <w:sz w:val="28"/>
          <w:szCs w:val="28"/>
        </w:rPr>
      </w:pPr>
    </w:p>
    <w:p w14:paraId="0313369D" w14:textId="1A38FCF2" w:rsidR="005511AE" w:rsidRDefault="005511AE" w:rsidP="005511AE">
      <w:pPr>
        <w:jc w:val="center"/>
        <w:rPr>
          <w:rFonts w:ascii="Calibri" w:eastAsia="Calibri" w:hAnsi="Calibri"/>
          <w:sz w:val="20"/>
          <w:szCs w:val="20"/>
        </w:rPr>
      </w:pPr>
      <w:r w:rsidRPr="009747F0">
        <w:rPr>
          <w:rFonts w:ascii="Calibri" w:eastAsia="Calibri" w:hAnsi="Calibri"/>
          <w:b/>
          <w:sz w:val="28"/>
          <w:szCs w:val="28"/>
        </w:rPr>
        <w:lastRenderedPageBreak/>
        <w:t>Strong Commentary Verbs</w:t>
      </w:r>
      <w:r>
        <w:rPr>
          <w:rFonts w:ascii="Calibri" w:eastAsia="Calibri" w:hAnsi="Calibri"/>
          <w:b/>
          <w:sz w:val="28"/>
          <w:szCs w:val="28"/>
        </w:rPr>
        <w:br/>
      </w:r>
      <w:r w:rsidRPr="009747F0">
        <w:rPr>
          <w:rFonts w:ascii="Calibri" w:eastAsia="Calibri" w:hAnsi="Calibri"/>
          <w:sz w:val="20"/>
          <w:szCs w:val="20"/>
        </w:rPr>
        <w:t xml:space="preserve">from </w:t>
      </w:r>
      <w:r w:rsidRPr="009747F0">
        <w:rPr>
          <w:rFonts w:ascii="Calibri" w:eastAsia="Calibri" w:hAnsi="Calibri"/>
          <w:i/>
          <w:sz w:val="20"/>
          <w:szCs w:val="20"/>
        </w:rPr>
        <w:t>Rules for Writers</w:t>
      </w:r>
      <w:r w:rsidRPr="009747F0">
        <w:rPr>
          <w:rFonts w:ascii="Calibri" w:eastAsia="Calibri" w:hAnsi="Calibri"/>
          <w:sz w:val="20"/>
          <w:szCs w:val="20"/>
        </w:rPr>
        <w:t xml:space="preserve"> by Diana Hacker</w:t>
      </w:r>
    </w:p>
    <w:p w14:paraId="1322E5ED" w14:textId="77777777" w:rsidR="005511AE" w:rsidRPr="0063760C" w:rsidRDefault="005511AE" w:rsidP="005511AE">
      <w:pPr>
        <w:jc w:val="center"/>
        <w:rPr>
          <w:rFonts w:ascii="Calibri" w:eastAsia="Calibri" w:hAnsi="Calibri"/>
          <w:b/>
        </w:rPr>
      </w:pPr>
      <w:r w:rsidRPr="0063760C">
        <w:rPr>
          <w:rFonts w:ascii="Calibri" w:eastAsia="Calibri" w:hAnsi="Calibri"/>
        </w:rPr>
        <w:t>Use these verbs when writing commentary.  Note the two verbs underlined in the sentences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tblGrid>
      <w:tr w:rsidR="00D31CD3" w:rsidRPr="00094DCF" w14:paraId="3FAB5A22" w14:textId="77777777" w:rsidTr="009157B4">
        <w:trPr>
          <w:jc w:val="center"/>
        </w:trPr>
        <w:tc>
          <w:tcPr>
            <w:tcW w:w="2574" w:type="dxa"/>
            <w:shd w:val="clear" w:color="auto" w:fill="auto"/>
          </w:tcPr>
          <w:p w14:paraId="3CDB741D"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acknowledges</w:t>
            </w:r>
          </w:p>
        </w:tc>
        <w:tc>
          <w:tcPr>
            <w:tcW w:w="2574" w:type="dxa"/>
            <w:shd w:val="clear" w:color="auto" w:fill="auto"/>
          </w:tcPr>
          <w:p w14:paraId="4A026429"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claims</w:t>
            </w:r>
          </w:p>
        </w:tc>
        <w:tc>
          <w:tcPr>
            <w:tcW w:w="2574" w:type="dxa"/>
            <w:shd w:val="clear" w:color="auto" w:fill="auto"/>
          </w:tcPr>
          <w:p w14:paraId="58C95AC0"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observes</w:t>
            </w:r>
          </w:p>
        </w:tc>
      </w:tr>
      <w:tr w:rsidR="00D31CD3" w:rsidRPr="00094DCF" w14:paraId="2305940B" w14:textId="77777777" w:rsidTr="009157B4">
        <w:trPr>
          <w:jc w:val="center"/>
        </w:trPr>
        <w:tc>
          <w:tcPr>
            <w:tcW w:w="2574" w:type="dxa"/>
            <w:shd w:val="clear" w:color="auto" w:fill="auto"/>
          </w:tcPr>
          <w:p w14:paraId="2BAD90C9"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adds</w:t>
            </w:r>
          </w:p>
        </w:tc>
        <w:tc>
          <w:tcPr>
            <w:tcW w:w="2574" w:type="dxa"/>
            <w:shd w:val="clear" w:color="auto" w:fill="auto"/>
          </w:tcPr>
          <w:p w14:paraId="3C983EF8"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exemplifies</w:t>
            </w:r>
          </w:p>
        </w:tc>
        <w:tc>
          <w:tcPr>
            <w:tcW w:w="2574" w:type="dxa"/>
            <w:shd w:val="clear" w:color="auto" w:fill="auto"/>
          </w:tcPr>
          <w:p w14:paraId="37B482AA"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points outs</w:t>
            </w:r>
          </w:p>
        </w:tc>
      </w:tr>
      <w:tr w:rsidR="00D31CD3" w:rsidRPr="00094DCF" w14:paraId="057DD158" w14:textId="77777777" w:rsidTr="009157B4">
        <w:trPr>
          <w:jc w:val="center"/>
        </w:trPr>
        <w:tc>
          <w:tcPr>
            <w:tcW w:w="2574" w:type="dxa"/>
            <w:shd w:val="clear" w:color="auto" w:fill="auto"/>
          </w:tcPr>
          <w:p w14:paraId="280D2D22"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admits</w:t>
            </w:r>
          </w:p>
        </w:tc>
        <w:tc>
          <w:tcPr>
            <w:tcW w:w="2574" w:type="dxa"/>
            <w:shd w:val="clear" w:color="auto" w:fill="auto"/>
          </w:tcPr>
          <w:p w14:paraId="1C89419A"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exhibits</w:t>
            </w:r>
          </w:p>
        </w:tc>
        <w:tc>
          <w:tcPr>
            <w:tcW w:w="2574" w:type="dxa"/>
            <w:shd w:val="clear" w:color="auto" w:fill="auto"/>
          </w:tcPr>
          <w:p w14:paraId="58A67906"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provides</w:t>
            </w:r>
          </w:p>
        </w:tc>
      </w:tr>
      <w:tr w:rsidR="00D31CD3" w:rsidRPr="00094DCF" w14:paraId="14681C6A" w14:textId="77777777" w:rsidTr="009157B4">
        <w:trPr>
          <w:jc w:val="center"/>
        </w:trPr>
        <w:tc>
          <w:tcPr>
            <w:tcW w:w="2574" w:type="dxa"/>
            <w:shd w:val="clear" w:color="auto" w:fill="auto"/>
          </w:tcPr>
          <w:p w14:paraId="46D4E19A"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agrees</w:t>
            </w:r>
          </w:p>
        </w:tc>
        <w:tc>
          <w:tcPr>
            <w:tcW w:w="2574" w:type="dxa"/>
            <w:shd w:val="clear" w:color="auto" w:fill="auto"/>
          </w:tcPr>
          <w:p w14:paraId="6FDFB978"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emphasizes</w:t>
            </w:r>
          </w:p>
        </w:tc>
        <w:tc>
          <w:tcPr>
            <w:tcW w:w="2574" w:type="dxa"/>
            <w:shd w:val="clear" w:color="auto" w:fill="auto"/>
          </w:tcPr>
          <w:p w14:paraId="74DB1957"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proves</w:t>
            </w:r>
          </w:p>
        </w:tc>
      </w:tr>
      <w:tr w:rsidR="00D31CD3" w:rsidRPr="00094DCF" w14:paraId="0651E2E9" w14:textId="77777777" w:rsidTr="009157B4">
        <w:trPr>
          <w:jc w:val="center"/>
        </w:trPr>
        <w:tc>
          <w:tcPr>
            <w:tcW w:w="2574" w:type="dxa"/>
            <w:shd w:val="clear" w:color="auto" w:fill="auto"/>
          </w:tcPr>
          <w:p w14:paraId="7916C115"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argues</w:t>
            </w:r>
          </w:p>
        </w:tc>
        <w:tc>
          <w:tcPr>
            <w:tcW w:w="2574" w:type="dxa"/>
            <w:shd w:val="clear" w:color="auto" w:fill="auto"/>
          </w:tcPr>
          <w:p w14:paraId="78FA33C4"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highlights</w:t>
            </w:r>
          </w:p>
        </w:tc>
        <w:tc>
          <w:tcPr>
            <w:tcW w:w="2574" w:type="dxa"/>
            <w:shd w:val="clear" w:color="auto" w:fill="auto"/>
          </w:tcPr>
          <w:p w14:paraId="31A0F132"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shows</w:t>
            </w:r>
          </w:p>
        </w:tc>
      </w:tr>
      <w:tr w:rsidR="00D31CD3" w:rsidRPr="00094DCF" w14:paraId="3B5C1D2F" w14:textId="77777777" w:rsidTr="009157B4">
        <w:trPr>
          <w:jc w:val="center"/>
        </w:trPr>
        <w:tc>
          <w:tcPr>
            <w:tcW w:w="2574" w:type="dxa"/>
            <w:shd w:val="clear" w:color="auto" w:fill="auto"/>
          </w:tcPr>
          <w:p w14:paraId="0E7AACA9"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believes</w:t>
            </w:r>
          </w:p>
        </w:tc>
        <w:tc>
          <w:tcPr>
            <w:tcW w:w="2574" w:type="dxa"/>
            <w:shd w:val="clear" w:color="auto" w:fill="auto"/>
          </w:tcPr>
          <w:p w14:paraId="133E82B9"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implies</w:t>
            </w:r>
          </w:p>
        </w:tc>
        <w:tc>
          <w:tcPr>
            <w:tcW w:w="2574" w:type="dxa"/>
            <w:shd w:val="clear" w:color="auto" w:fill="auto"/>
          </w:tcPr>
          <w:p w14:paraId="6029B6F1"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suggests</w:t>
            </w:r>
          </w:p>
        </w:tc>
      </w:tr>
      <w:tr w:rsidR="00D31CD3" w:rsidRPr="00094DCF" w14:paraId="12F47FB8" w14:textId="77777777" w:rsidTr="009157B4">
        <w:trPr>
          <w:jc w:val="center"/>
        </w:trPr>
        <w:tc>
          <w:tcPr>
            <w:tcW w:w="2574" w:type="dxa"/>
            <w:shd w:val="clear" w:color="auto" w:fill="auto"/>
          </w:tcPr>
          <w:p w14:paraId="57D8618D"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compares</w:t>
            </w:r>
          </w:p>
        </w:tc>
        <w:tc>
          <w:tcPr>
            <w:tcW w:w="2574" w:type="dxa"/>
            <w:shd w:val="clear" w:color="auto" w:fill="auto"/>
          </w:tcPr>
          <w:p w14:paraId="23233105"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illustrates</w:t>
            </w:r>
          </w:p>
        </w:tc>
        <w:tc>
          <w:tcPr>
            <w:tcW w:w="2574" w:type="dxa"/>
            <w:shd w:val="clear" w:color="auto" w:fill="auto"/>
          </w:tcPr>
          <w:p w14:paraId="181C5BA5" w14:textId="77777777" w:rsidR="00D31CD3" w:rsidRPr="0063760C" w:rsidRDefault="00D31CD3" w:rsidP="009157B4">
            <w:pPr>
              <w:jc w:val="center"/>
              <w:rPr>
                <w:rFonts w:ascii="Calibri" w:eastAsia="Calibri" w:hAnsi="Calibri"/>
                <w:sz w:val="28"/>
                <w:szCs w:val="28"/>
              </w:rPr>
            </w:pPr>
            <w:r w:rsidRPr="0063760C">
              <w:rPr>
                <w:rFonts w:ascii="Calibri" w:eastAsia="Calibri" w:hAnsi="Calibri"/>
                <w:sz w:val="28"/>
                <w:szCs w:val="28"/>
              </w:rPr>
              <w:t>responds</w:t>
            </w:r>
          </w:p>
        </w:tc>
      </w:tr>
    </w:tbl>
    <w:p w14:paraId="48D460DA" w14:textId="77777777" w:rsidR="005511AE" w:rsidRDefault="005511AE" w:rsidP="005511AE">
      <w:pPr>
        <w:jc w:val="center"/>
        <w:rPr>
          <w:rFonts w:ascii="Calibri" w:eastAsia="Calibri" w:hAnsi="Calibri"/>
          <w:sz w:val="20"/>
          <w:szCs w:val="20"/>
        </w:rPr>
      </w:pPr>
    </w:p>
    <w:p w14:paraId="16946F14" w14:textId="77777777" w:rsidR="005511AE" w:rsidRDefault="005511AE" w:rsidP="005511AE">
      <w:pPr>
        <w:jc w:val="right"/>
        <w:rPr>
          <w:rFonts w:ascii="Calibri" w:eastAsia="Calibri" w:hAnsi="Calibri"/>
          <w:sz w:val="18"/>
          <w:szCs w:val="18"/>
        </w:rPr>
      </w:pPr>
    </w:p>
    <w:p w14:paraId="225F37F3" w14:textId="6D4545E7" w:rsidR="005511AE" w:rsidRPr="0063760C" w:rsidRDefault="005511AE" w:rsidP="0063760C">
      <w:pPr>
        <w:jc w:val="center"/>
        <w:rPr>
          <w:rFonts w:ascii="Calibri" w:eastAsia="Calibri" w:hAnsi="Calibri"/>
          <w:b/>
          <w:sz w:val="28"/>
          <w:szCs w:val="28"/>
        </w:rPr>
      </w:pPr>
      <w:r w:rsidRPr="00417E71">
        <w:rPr>
          <w:rFonts w:ascii="Calibri" w:eastAsia="Calibri" w:hAnsi="Calibri"/>
          <w:b/>
          <w:sz w:val="36"/>
          <w:szCs w:val="36"/>
        </w:rPr>
        <w:t xml:space="preserve">Commentary </w:t>
      </w:r>
      <w:r>
        <w:rPr>
          <w:rFonts w:ascii="Calibri" w:eastAsia="Calibri" w:hAnsi="Calibri"/>
          <w:b/>
          <w:sz w:val="36"/>
          <w:szCs w:val="36"/>
        </w:rPr>
        <w:t>Examples &amp; Practice</w:t>
      </w:r>
    </w:p>
    <w:p w14:paraId="39F2257E" w14:textId="45108A53" w:rsidR="005511AE" w:rsidRPr="00566090" w:rsidRDefault="0063760C" w:rsidP="005511AE">
      <w:pPr>
        <w:jc w:val="center"/>
        <w:rPr>
          <w:rFonts w:ascii="Calibri" w:eastAsia="Calibri" w:hAnsi="Calibri"/>
          <w:b/>
          <w:sz w:val="28"/>
          <w:szCs w:val="28"/>
        </w:rPr>
      </w:pPr>
      <w:r>
        <w:rPr>
          <w:rFonts w:ascii="Calibri" w:eastAsia="Calibri" w:hAnsi="Calibri"/>
          <w:b/>
          <w:noProof/>
          <w:sz w:val="28"/>
          <w:szCs w:val="28"/>
        </w:rPr>
        <mc:AlternateContent>
          <mc:Choice Requires="wps">
            <w:drawing>
              <wp:anchor distT="0" distB="0" distL="114300" distR="114300" simplePos="0" relativeHeight="251659264" behindDoc="0" locked="0" layoutInCell="1" allowOverlap="1" wp14:anchorId="26976360" wp14:editId="1432D341">
                <wp:simplePos x="0" y="0"/>
                <wp:positionH relativeFrom="column">
                  <wp:posOffset>-259080</wp:posOffset>
                </wp:positionH>
                <wp:positionV relativeFrom="paragraph">
                  <wp:posOffset>208915</wp:posOffset>
                </wp:positionV>
                <wp:extent cx="7115175" cy="1685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115175"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31F50" id="Rectangle 2" o:spid="_x0000_s1026" style="position:absolute;margin-left:-20.4pt;margin-top:16.45pt;width:560.25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" filled="f" strokecolor="black [3213]" strokeweight="2pt"/>
            </w:pict>
          </mc:Fallback>
        </mc:AlternateContent>
      </w:r>
      <w:r w:rsidR="009801C4">
        <w:rPr>
          <w:rFonts w:ascii="Calibri" w:eastAsia="Calibri" w:hAnsi="Calibri"/>
          <w:b/>
          <w:sz w:val="28"/>
          <w:szCs w:val="28"/>
        </w:rPr>
        <w:t>Debatable Claim:</w:t>
      </w:r>
      <w:r w:rsidR="009801C4" w:rsidRPr="009801C4">
        <w:rPr>
          <w:rFonts w:ascii="Calibri" w:eastAsia="Calibri" w:hAnsi="Calibri"/>
          <w:sz w:val="28"/>
          <w:szCs w:val="28"/>
        </w:rPr>
        <w:t xml:space="preserve"> S</w:t>
      </w:r>
      <w:r w:rsidR="005511AE" w:rsidRPr="009801C4">
        <w:rPr>
          <w:rFonts w:ascii="Calibri" w:eastAsia="Calibri" w:hAnsi="Calibri"/>
          <w:sz w:val="28"/>
          <w:szCs w:val="28"/>
        </w:rPr>
        <w:t>chool</w:t>
      </w:r>
      <w:r w:rsidR="005511AE" w:rsidRPr="00566090">
        <w:rPr>
          <w:rFonts w:ascii="Calibri" w:eastAsia="Calibri" w:hAnsi="Calibri"/>
          <w:sz w:val="28"/>
          <w:szCs w:val="28"/>
        </w:rPr>
        <w:t xml:space="preserve"> lunch isn’t as healthy as it should be.</w:t>
      </w:r>
    </w:p>
    <w:p w14:paraId="19951FCD" w14:textId="77777777" w:rsidR="005511AE" w:rsidRDefault="005511AE" w:rsidP="005511AE">
      <w:pPr>
        <w:rPr>
          <w:rFonts w:ascii="Calibri" w:eastAsia="Calibri" w:hAnsi="Calibri"/>
          <w:b/>
          <w:sz w:val="28"/>
          <w:szCs w:val="28"/>
        </w:rPr>
      </w:pPr>
      <w:r>
        <w:rPr>
          <w:rFonts w:ascii="Calibri" w:eastAsia="Calibri" w:hAnsi="Calibri"/>
          <w:b/>
          <w:sz w:val="28"/>
          <w:szCs w:val="28"/>
        </w:rPr>
        <w:t>#1</w:t>
      </w:r>
    </w:p>
    <w:p w14:paraId="08F1CAD3" w14:textId="77777777" w:rsidR="005511AE" w:rsidRDefault="005511AE" w:rsidP="005511AE">
      <w:pPr>
        <w:rPr>
          <w:rFonts w:ascii="Calibri" w:eastAsia="Calibri" w:hAnsi="Calibri"/>
        </w:rPr>
      </w:pPr>
      <w:r>
        <w:rPr>
          <w:rFonts w:ascii="Calibri" w:eastAsia="Calibri" w:hAnsi="Calibri"/>
          <w:b/>
        </w:rPr>
        <w:t xml:space="preserve">Factual </w:t>
      </w:r>
      <w:r w:rsidRPr="00C54695">
        <w:rPr>
          <w:rFonts w:ascii="Calibri" w:eastAsia="Calibri" w:hAnsi="Calibri"/>
          <w:b/>
        </w:rPr>
        <w:t>Evidence</w:t>
      </w:r>
      <w:r>
        <w:rPr>
          <w:rFonts w:ascii="Calibri" w:eastAsia="Calibri" w:hAnsi="Calibri"/>
        </w:rPr>
        <w:t>:</w:t>
      </w:r>
      <w:r w:rsidRPr="00C54695">
        <w:rPr>
          <w:rFonts w:ascii="Calibri" w:eastAsia="Calibri" w:hAnsi="Calibri"/>
        </w:rPr>
        <w:t xml:space="preserve"> A single serving of chicken nuggets (5 pieces) can contain up to 500 milligrams of sodium, the total amount of salt children should consume daily. (</w:t>
      </w:r>
      <w:hyperlink r:id="rId12" w:history="1">
        <w:r w:rsidRPr="003B0429">
          <w:rPr>
            <w:rStyle w:val="Hyperlink"/>
            <w:rFonts w:ascii="Calibri" w:eastAsia="Calibri" w:hAnsi="Calibri"/>
          </w:rPr>
          <w:t>www.webmd.com</w:t>
        </w:r>
      </w:hyperlink>
      <w:r w:rsidRPr="00C54695">
        <w:rPr>
          <w:rFonts w:ascii="Calibri" w:eastAsia="Calibri" w:hAnsi="Calibri"/>
        </w:rPr>
        <w:t>)</w:t>
      </w:r>
    </w:p>
    <w:p w14:paraId="3EFEC1D7" w14:textId="77777777" w:rsidR="005511AE" w:rsidRDefault="005511AE" w:rsidP="005511AE">
      <w:pPr>
        <w:rPr>
          <w:rFonts w:ascii="Calibri" w:eastAsia="Calibri" w:hAnsi="Calibri"/>
        </w:rPr>
      </w:pPr>
    </w:p>
    <w:p w14:paraId="4E5F2FFE" w14:textId="77777777" w:rsidR="005511AE" w:rsidRDefault="005511AE" w:rsidP="005511AE">
      <w:pPr>
        <w:rPr>
          <w:rFonts w:ascii="Calibri" w:eastAsia="Calibri" w:hAnsi="Calibri"/>
        </w:rPr>
      </w:pPr>
      <w:r w:rsidRPr="00C54695">
        <w:rPr>
          <w:rFonts w:ascii="Calibri" w:eastAsia="Calibri" w:hAnsi="Calibri"/>
          <w:b/>
        </w:rPr>
        <w:t>Commentary:</w:t>
      </w:r>
      <w:r>
        <w:rPr>
          <w:rFonts w:ascii="Calibri" w:eastAsia="Calibri" w:hAnsi="Calibri"/>
          <w:sz w:val="20"/>
          <w:szCs w:val="20"/>
        </w:rPr>
        <w:t xml:space="preserve"> </w:t>
      </w:r>
      <w:r>
        <w:rPr>
          <w:rFonts w:ascii="Calibri" w:eastAsia="Calibri" w:hAnsi="Calibri"/>
        </w:rPr>
        <w:t xml:space="preserve">These numbers are important </w:t>
      </w:r>
      <w:r w:rsidRPr="00934807">
        <w:rPr>
          <w:rFonts w:ascii="Calibri" w:eastAsia="Calibri" w:hAnsi="Calibri"/>
        </w:rPr>
        <w:t>because</w:t>
      </w:r>
      <w:r>
        <w:rPr>
          <w:rFonts w:ascii="Calibri" w:eastAsia="Calibri" w:hAnsi="Calibri"/>
        </w:rPr>
        <w:t xml:space="preserve"> they </w:t>
      </w:r>
      <w:r w:rsidRPr="00934807">
        <w:rPr>
          <w:rFonts w:ascii="Calibri" w:eastAsia="Calibri" w:hAnsi="Calibri"/>
        </w:rPr>
        <w:t>point to the effects of poor nutrition and how serious the school lunch problem is.  Chicken nuggets, commonly served to students in school lunchrooms, exemplify the poor nutritional quality of school</w:t>
      </w:r>
      <w:r>
        <w:rPr>
          <w:rFonts w:ascii="Calibri" w:eastAsia="Calibri" w:hAnsi="Calibri"/>
        </w:rPr>
        <w:t xml:space="preserve"> food.  If children eat that much sodium on a regular basis, they are headed for a life of weight gain and high blood pressure. </w:t>
      </w:r>
    </w:p>
    <w:p w14:paraId="34C109C7" w14:textId="799325E2" w:rsidR="005511AE" w:rsidRDefault="0063760C" w:rsidP="005511AE">
      <w:pPr>
        <w:rPr>
          <w:rFonts w:ascii="Calibri" w:eastAsia="Calibri" w:hAnsi="Calibri"/>
        </w:rPr>
      </w:pPr>
      <w:r>
        <w:rPr>
          <w:rFonts w:ascii="Calibri" w:eastAsia="Calibri" w:hAnsi="Calibri"/>
          <w:b/>
          <w:noProof/>
          <w:sz w:val="28"/>
          <w:szCs w:val="28"/>
        </w:rPr>
        <mc:AlternateContent>
          <mc:Choice Requires="wps">
            <w:drawing>
              <wp:anchor distT="0" distB="0" distL="114300" distR="114300" simplePos="0" relativeHeight="251661312" behindDoc="0" locked="0" layoutInCell="1" allowOverlap="1" wp14:anchorId="35056B49" wp14:editId="26893ED2">
                <wp:simplePos x="0" y="0"/>
                <wp:positionH relativeFrom="column">
                  <wp:posOffset>-259080</wp:posOffset>
                </wp:positionH>
                <wp:positionV relativeFrom="paragraph">
                  <wp:posOffset>196850</wp:posOffset>
                </wp:positionV>
                <wp:extent cx="7115175" cy="1743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115175" cy="1743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9BC5E" id="Rectangle 3" o:spid="_x0000_s1026" style="position:absolute;margin-left:-20.4pt;margin-top:15.5pt;width:560.25pt;height:13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" filled="f" strokecolor="windowText" strokeweight="2pt"/>
            </w:pict>
          </mc:Fallback>
        </mc:AlternateContent>
      </w:r>
    </w:p>
    <w:p w14:paraId="6CA0DD59" w14:textId="26630741" w:rsidR="005511AE" w:rsidRPr="00C35F59" w:rsidRDefault="005511AE" w:rsidP="005511AE">
      <w:pPr>
        <w:rPr>
          <w:rFonts w:ascii="Calibri" w:eastAsia="Calibri" w:hAnsi="Calibri"/>
          <w:b/>
        </w:rPr>
      </w:pPr>
      <w:r w:rsidRPr="00C35F59">
        <w:rPr>
          <w:rFonts w:ascii="Calibri" w:eastAsia="Calibri" w:hAnsi="Calibri"/>
          <w:b/>
        </w:rPr>
        <w:t>#2</w:t>
      </w:r>
    </w:p>
    <w:p w14:paraId="7258992A" w14:textId="617250D0" w:rsidR="005511AE" w:rsidRDefault="005511AE" w:rsidP="005511AE">
      <w:pPr>
        <w:rPr>
          <w:rFonts w:ascii="Calibri" w:eastAsia="Calibri" w:hAnsi="Calibri"/>
        </w:rPr>
      </w:pPr>
      <w:r w:rsidRPr="007613C4">
        <w:rPr>
          <w:rFonts w:ascii="Calibri" w:eastAsia="Calibri" w:hAnsi="Calibri"/>
          <w:b/>
        </w:rPr>
        <w:t>Anecdotal Evidence:</w:t>
      </w:r>
      <w:r>
        <w:rPr>
          <w:rFonts w:ascii="Calibri" w:eastAsia="Calibri" w:hAnsi="Calibri"/>
        </w:rPr>
        <w:t xml:space="preserve"> </w:t>
      </w:r>
      <w:r w:rsidRPr="00E075A0">
        <w:rPr>
          <w:rFonts w:ascii="Calibri" w:eastAsia="Calibri" w:hAnsi="Calibri"/>
        </w:rPr>
        <w:t>My friends and I always feel sluggish after lunch</w:t>
      </w:r>
      <w:r>
        <w:rPr>
          <w:rFonts w:ascii="Calibri" w:eastAsia="Calibri" w:hAnsi="Calibri"/>
        </w:rPr>
        <w:t>.  Tanesha said, “I can hardly stay awake in art class after rushing through our 20 minute lunch.”</w:t>
      </w:r>
    </w:p>
    <w:p w14:paraId="4BF8C795" w14:textId="77777777" w:rsidR="005511AE" w:rsidRDefault="005511AE" w:rsidP="005511AE">
      <w:pPr>
        <w:rPr>
          <w:rFonts w:ascii="Calibri" w:eastAsia="Calibri" w:hAnsi="Calibri"/>
        </w:rPr>
      </w:pPr>
    </w:p>
    <w:p w14:paraId="220D8B8D" w14:textId="77777777" w:rsidR="005511AE" w:rsidRDefault="005511AE" w:rsidP="005511AE">
      <w:pPr>
        <w:rPr>
          <w:rFonts w:ascii="Calibri" w:eastAsia="Calibri" w:hAnsi="Calibri"/>
        </w:rPr>
      </w:pPr>
      <w:r w:rsidRPr="000700D8">
        <w:rPr>
          <w:rFonts w:ascii="Calibri" w:eastAsia="Calibri" w:hAnsi="Calibri"/>
          <w:b/>
        </w:rPr>
        <w:t>Commentary</w:t>
      </w:r>
      <w:r>
        <w:rPr>
          <w:rFonts w:ascii="Calibri" w:eastAsia="Calibri" w:hAnsi="Calibri"/>
        </w:rPr>
        <w:t xml:space="preserve">: Tanesha’s statement about feeling tired after inhaling her lunch </w:t>
      </w:r>
      <w:r w:rsidRPr="00934807">
        <w:rPr>
          <w:rFonts w:ascii="Calibri" w:eastAsia="Calibri" w:hAnsi="Calibri"/>
        </w:rPr>
        <w:t xml:space="preserve">confirms </w:t>
      </w:r>
      <w:r>
        <w:rPr>
          <w:rFonts w:ascii="Calibri" w:eastAsia="Calibri" w:hAnsi="Calibri"/>
        </w:rPr>
        <w:t xml:space="preserve">the negative effects that foods high in carbohydrates and sugar can have on young minds that need protein and vegetables, brain food, to be more lively and active class participants.  If she ate more nutritious food at lunch, she might be more awake for art class.  Leaders and decision-makers must pay attention to such experiences </w:t>
      </w:r>
      <w:r w:rsidRPr="00934807">
        <w:rPr>
          <w:rFonts w:ascii="Calibri" w:eastAsia="Calibri" w:hAnsi="Calibri"/>
        </w:rPr>
        <w:t>because</w:t>
      </w:r>
      <w:r>
        <w:rPr>
          <w:rFonts w:ascii="Calibri" w:eastAsia="Calibri" w:hAnsi="Calibri"/>
        </w:rPr>
        <w:t xml:space="preserve"> they </w:t>
      </w:r>
      <w:r w:rsidRPr="00934807">
        <w:rPr>
          <w:rFonts w:ascii="Calibri" w:eastAsia="Calibri" w:hAnsi="Calibri"/>
        </w:rPr>
        <w:t>prove</w:t>
      </w:r>
      <w:r>
        <w:rPr>
          <w:rFonts w:ascii="Calibri" w:eastAsia="Calibri" w:hAnsi="Calibri"/>
        </w:rPr>
        <w:t xml:space="preserve"> that there is a relationship between what we eat and how well we learn.</w:t>
      </w:r>
    </w:p>
    <w:p w14:paraId="7CAF73B0" w14:textId="77777777" w:rsidR="005511AE" w:rsidRDefault="005511AE" w:rsidP="005511AE">
      <w:pPr>
        <w:rPr>
          <w:rFonts w:ascii="Calibri" w:eastAsia="Calibri" w:hAnsi="Calibri"/>
        </w:rPr>
      </w:pPr>
    </w:p>
    <w:p w14:paraId="71F63479" w14:textId="77777777" w:rsidR="005511AE" w:rsidRDefault="005511AE" w:rsidP="005511AE">
      <w:pPr>
        <w:rPr>
          <w:rFonts w:ascii="Calibri" w:eastAsia="Calibri" w:hAnsi="Calibri"/>
          <w:b/>
          <w:i/>
          <w:sz w:val="32"/>
          <w:szCs w:val="32"/>
        </w:rPr>
      </w:pPr>
      <w:r w:rsidRPr="00345625">
        <w:rPr>
          <w:rFonts w:ascii="Calibri" w:eastAsia="Calibri" w:hAnsi="Calibri"/>
          <w:b/>
          <w:i/>
          <w:sz w:val="32"/>
          <w:szCs w:val="32"/>
        </w:rPr>
        <w:t>You Try!</w:t>
      </w:r>
    </w:p>
    <w:p w14:paraId="0D480ACF" w14:textId="77777777" w:rsidR="005511AE" w:rsidRDefault="005511AE" w:rsidP="005511AE">
      <w:pPr>
        <w:rPr>
          <w:rFonts w:ascii="Calibri" w:eastAsia="Calibri" w:hAnsi="Calibri"/>
          <w:sz w:val="28"/>
          <w:szCs w:val="28"/>
        </w:rPr>
      </w:pPr>
      <w:r w:rsidRPr="00566090">
        <w:rPr>
          <w:rFonts w:ascii="Calibri" w:eastAsia="Calibri" w:hAnsi="Calibri"/>
          <w:b/>
          <w:sz w:val="28"/>
          <w:szCs w:val="28"/>
        </w:rPr>
        <w:t xml:space="preserve">Debatable Claim: </w:t>
      </w:r>
      <w:r>
        <w:rPr>
          <w:rFonts w:ascii="Calibri" w:eastAsia="Calibri" w:hAnsi="Calibri"/>
          <w:sz w:val="28"/>
          <w:szCs w:val="28"/>
        </w:rPr>
        <w:t>S</w:t>
      </w:r>
      <w:r w:rsidRPr="00566090">
        <w:rPr>
          <w:rFonts w:ascii="Calibri" w:eastAsia="Calibri" w:hAnsi="Calibri"/>
          <w:sz w:val="28"/>
          <w:szCs w:val="28"/>
        </w:rPr>
        <w:t>chool lunch isn’t as healthy as it should be.</w:t>
      </w:r>
    </w:p>
    <w:p w14:paraId="1FD35CA0" w14:textId="77777777" w:rsidR="005511AE" w:rsidRDefault="005511AE" w:rsidP="005511AE">
      <w:pPr>
        <w:rPr>
          <w:rFonts w:ascii="Calibri" w:eastAsia="Calibri" w:hAnsi="Calibri"/>
          <w:sz w:val="28"/>
          <w:szCs w:val="28"/>
        </w:rPr>
      </w:pPr>
    </w:p>
    <w:p w14:paraId="0A952D29" w14:textId="77777777" w:rsidR="005511AE" w:rsidRPr="005076B9" w:rsidRDefault="005511AE" w:rsidP="005511AE">
      <w:pPr>
        <w:rPr>
          <w:rFonts w:ascii="Calibri" w:hAnsi="Calibri" w:cs="Georgia"/>
          <w:sz w:val="28"/>
          <w:szCs w:val="28"/>
        </w:rPr>
      </w:pPr>
      <w:r w:rsidRPr="005076B9">
        <w:rPr>
          <w:rFonts w:ascii="Calibri" w:eastAsia="Calibri" w:hAnsi="Calibri"/>
          <w:b/>
          <w:sz w:val="28"/>
          <w:szCs w:val="28"/>
        </w:rPr>
        <w:t xml:space="preserve">Factual Evidence:  </w:t>
      </w:r>
      <w:r w:rsidRPr="005076B9">
        <w:rPr>
          <w:rFonts w:ascii="Calibri" w:hAnsi="Calibri" w:cs="Georgia"/>
          <w:sz w:val="28"/>
          <w:szCs w:val="28"/>
        </w:rPr>
        <w:t xml:space="preserve">“A study by the </w:t>
      </w:r>
      <w:r w:rsidRPr="00E66C16">
        <w:rPr>
          <w:rFonts w:ascii="Calibri" w:hAnsi="Calibri" w:cs="Georgia"/>
          <w:sz w:val="28"/>
          <w:szCs w:val="28"/>
        </w:rPr>
        <w:t xml:space="preserve">federal </w:t>
      </w:r>
      <w:r w:rsidRPr="00E66C16">
        <w:rPr>
          <w:rFonts w:ascii="Calibri" w:hAnsi="Calibri" w:cs="Georgia"/>
          <w:sz w:val="28"/>
          <w:szCs w:val="28"/>
          <w:u w:color="0A2F67"/>
        </w:rPr>
        <w:t>Centers for Disease Control and Prevention</w:t>
      </w:r>
      <w:r w:rsidRPr="00E66C16">
        <w:rPr>
          <w:rFonts w:ascii="Calibri" w:hAnsi="Calibri" w:cs="Georgia"/>
          <w:sz w:val="28"/>
          <w:szCs w:val="28"/>
        </w:rPr>
        <w:t xml:space="preserve"> in 2006 </w:t>
      </w:r>
      <w:r w:rsidRPr="00E66C16">
        <w:rPr>
          <w:rFonts w:ascii="Calibri" w:hAnsi="Calibri" w:cs="Georgia"/>
          <w:sz w:val="28"/>
          <w:szCs w:val="28"/>
          <w:u w:color="0A2F67"/>
        </w:rPr>
        <w:t>found that</w:t>
      </w:r>
      <w:r w:rsidRPr="00E66C16">
        <w:rPr>
          <w:rFonts w:ascii="Calibri" w:hAnsi="Calibri" w:cs="Georgia"/>
          <w:sz w:val="28"/>
          <w:szCs w:val="28"/>
        </w:rPr>
        <w:t xml:space="preserve"> 23.5 percent of high schools offered fast food from places like Pizza Hut and Taco Bell” (</w:t>
      </w:r>
      <w:r w:rsidRPr="00E66C16">
        <w:rPr>
          <w:rFonts w:ascii="Calibri" w:hAnsi="Calibri" w:cs="Georgia"/>
          <w:i/>
          <w:sz w:val="28"/>
          <w:szCs w:val="28"/>
        </w:rPr>
        <w:t>The New York Times</w:t>
      </w:r>
      <w:r w:rsidRPr="00E66C16">
        <w:rPr>
          <w:rFonts w:ascii="Calibri" w:hAnsi="Calibri" w:cs="Georgia"/>
          <w:sz w:val="28"/>
          <w:szCs w:val="28"/>
        </w:rPr>
        <w:t>).</w:t>
      </w:r>
    </w:p>
    <w:p w14:paraId="17F238DE" w14:textId="77777777" w:rsidR="005511AE" w:rsidRDefault="005511AE" w:rsidP="005511AE">
      <w:pPr>
        <w:rPr>
          <w:rFonts w:ascii="Calibri" w:eastAsia="Calibri" w:hAnsi="Calibri"/>
          <w:sz w:val="28"/>
          <w:szCs w:val="28"/>
        </w:rPr>
      </w:pPr>
    </w:p>
    <w:p w14:paraId="427C4E40" w14:textId="77777777" w:rsidR="005511AE" w:rsidRPr="00092F2D" w:rsidRDefault="005511AE" w:rsidP="005511AE">
      <w:pPr>
        <w:rPr>
          <w:rFonts w:ascii="Calibri" w:eastAsia="Calibri" w:hAnsi="Calibri"/>
          <w:i/>
          <w:sz w:val="28"/>
          <w:szCs w:val="28"/>
        </w:rPr>
      </w:pPr>
      <w:r w:rsidRPr="00AA7BA3">
        <w:rPr>
          <w:rFonts w:ascii="Calibri" w:eastAsia="Calibri" w:hAnsi="Calibri"/>
          <w:b/>
          <w:sz w:val="28"/>
          <w:szCs w:val="28"/>
        </w:rPr>
        <w:t>Your Commentary:</w:t>
      </w:r>
      <w:r>
        <w:rPr>
          <w:rFonts w:ascii="Calibri" w:eastAsia="Calibri" w:hAnsi="Calibri"/>
          <w:b/>
          <w:sz w:val="28"/>
          <w:szCs w:val="28"/>
        </w:rPr>
        <w:t xml:space="preserve"> </w:t>
      </w:r>
      <w:r w:rsidRPr="00092F2D">
        <w:rPr>
          <w:rFonts w:ascii="Calibri" w:eastAsia="Calibri" w:hAnsi="Calibri"/>
          <w:i/>
          <w:sz w:val="28"/>
          <w:szCs w:val="28"/>
        </w:rPr>
        <w:t>don’t forget to use those strong commentary verbs!</w:t>
      </w:r>
    </w:p>
    <w:p w14:paraId="5A5990AC" w14:textId="7A3BCA57" w:rsidR="005511AE" w:rsidRDefault="005511AE" w:rsidP="005511AE">
      <w:pPr>
        <w:rPr>
          <w:rFonts w:ascii="Calibri" w:eastAsia="Calibri" w:hAnsi="Calibri"/>
          <w:sz w:val="28"/>
          <w:szCs w:val="28"/>
        </w:rPr>
      </w:pPr>
      <w:r>
        <w:rPr>
          <w:rFonts w:ascii="Calibri" w:eastAsia="Calibri" w:hAnsi="Calibri"/>
          <w:sz w:val="28"/>
          <w:szCs w:val="28"/>
        </w:rPr>
        <w:t>(re-explain the facts)</w:t>
      </w:r>
    </w:p>
    <w:p w14:paraId="05CEDF2E" w14:textId="4A9156AD" w:rsidR="005511AE" w:rsidRDefault="005511AE" w:rsidP="005511AE">
      <w:pPr>
        <w:rPr>
          <w:rFonts w:ascii="Calibri" w:eastAsia="Calibri" w:hAnsi="Calibri"/>
          <w:sz w:val="28"/>
          <w:szCs w:val="28"/>
        </w:rPr>
      </w:pPr>
      <w:r>
        <w:rPr>
          <w:rFonts w:ascii="Calibri" w:eastAsia="Calibri" w:hAnsi="Calibri"/>
          <w:sz w:val="28"/>
          <w:szCs w:val="28"/>
        </w:rPr>
        <w:t>(tell what’s important about them)</w:t>
      </w:r>
    </w:p>
    <w:p w14:paraId="1284B547" w14:textId="44B71086" w:rsidR="005511AE" w:rsidRPr="0063760C" w:rsidRDefault="005511AE" w:rsidP="0063760C">
      <w:pPr>
        <w:rPr>
          <w:rFonts w:ascii="Calibri" w:eastAsia="Calibri" w:hAnsi="Calibri"/>
          <w:sz w:val="28"/>
          <w:szCs w:val="28"/>
        </w:rPr>
      </w:pPr>
      <w:r>
        <w:rPr>
          <w:rFonts w:ascii="Calibri" w:eastAsia="Calibri" w:hAnsi="Calibri"/>
          <w:sz w:val="28"/>
          <w:szCs w:val="28"/>
        </w:rPr>
        <w:t>(explain how this evidence proves and supports the claim)</w:t>
      </w:r>
      <w:bookmarkStart w:id="0" w:name="_GoBack"/>
      <w:bookmarkEnd w:id="0"/>
    </w:p>
    <w:p w14:paraId="082B20AB" w14:textId="77777777" w:rsidR="005511AE" w:rsidRDefault="005511AE" w:rsidP="005511AE">
      <w:pPr>
        <w:jc w:val="right"/>
        <w:rPr>
          <w:rFonts w:ascii="Calibri" w:eastAsia="Calibri" w:hAnsi="Calibri"/>
          <w:b/>
          <w:sz w:val="36"/>
          <w:szCs w:val="36"/>
        </w:rPr>
      </w:pPr>
      <w:r>
        <w:rPr>
          <w:rFonts w:ascii="Calibri" w:eastAsia="Calibri" w:hAnsi="Calibri"/>
          <w:sz w:val="18"/>
          <w:szCs w:val="18"/>
        </w:rPr>
        <w:lastRenderedPageBreak/>
        <w:t>Argument Paragraph 7: Session 7</w:t>
      </w:r>
    </w:p>
    <w:p w14:paraId="7990E941" w14:textId="77777777" w:rsidR="005511AE" w:rsidRPr="00345625" w:rsidRDefault="005511AE" w:rsidP="005511AE">
      <w:pPr>
        <w:jc w:val="center"/>
        <w:rPr>
          <w:rFonts w:ascii="Calibri" w:eastAsia="Calibri" w:hAnsi="Calibri"/>
          <w:b/>
          <w:sz w:val="28"/>
          <w:szCs w:val="28"/>
        </w:rPr>
      </w:pPr>
      <w:r w:rsidRPr="00417E71">
        <w:rPr>
          <w:rFonts w:ascii="Calibri" w:eastAsia="Calibri" w:hAnsi="Calibri"/>
          <w:b/>
          <w:sz w:val="36"/>
          <w:szCs w:val="36"/>
        </w:rPr>
        <w:t xml:space="preserve">Commentary </w:t>
      </w:r>
      <w:r>
        <w:rPr>
          <w:rFonts w:ascii="Calibri" w:eastAsia="Calibri" w:hAnsi="Calibri"/>
          <w:b/>
          <w:sz w:val="36"/>
          <w:szCs w:val="36"/>
        </w:rPr>
        <w:t>Examples &amp; Practice</w:t>
      </w:r>
    </w:p>
    <w:p w14:paraId="4751581A" w14:textId="77777777" w:rsidR="005511AE" w:rsidRDefault="005511AE" w:rsidP="005511AE">
      <w:pPr>
        <w:jc w:val="center"/>
        <w:rPr>
          <w:rFonts w:ascii="Calibri" w:eastAsia="Calibri" w:hAnsi="Calibri"/>
          <w:b/>
          <w:sz w:val="28"/>
          <w:szCs w:val="28"/>
        </w:rPr>
      </w:pPr>
      <w:r>
        <w:rPr>
          <w:rFonts w:ascii="Calibri" w:eastAsia="Calibri" w:hAnsi="Calibri"/>
          <w:b/>
          <w:sz w:val="28"/>
          <w:szCs w:val="28"/>
        </w:rPr>
        <w:t>Teacher Version</w:t>
      </w:r>
    </w:p>
    <w:p w14:paraId="16ADB018" w14:textId="77777777" w:rsidR="005511AE" w:rsidRPr="007613C4" w:rsidRDefault="005511AE" w:rsidP="005511AE">
      <w:pPr>
        <w:rPr>
          <w:rFonts w:ascii="Calibri" w:eastAsia="Calibri" w:hAnsi="Calibri"/>
          <w:b/>
        </w:rPr>
      </w:pPr>
    </w:p>
    <w:p w14:paraId="2049499C" w14:textId="77777777" w:rsidR="005511AE" w:rsidRPr="00566090" w:rsidRDefault="005511AE" w:rsidP="005511AE">
      <w:pPr>
        <w:jc w:val="center"/>
        <w:rPr>
          <w:rFonts w:ascii="Calibri" w:eastAsia="Calibri" w:hAnsi="Calibri"/>
          <w:b/>
          <w:sz w:val="28"/>
          <w:szCs w:val="28"/>
        </w:rPr>
      </w:pPr>
      <w:r w:rsidRPr="00566090">
        <w:rPr>
          <w:rFonts w:ascii="Calibri" w:eastAsia="Calibri" w:hAnsi="Calibri"/>
          <w:b/>
          <w:sz w:val="28"/>
          <w:szCs w:val="28"/>
        </w:rPr>
        <w:t xml:space="preserve">Debatable Claim: </w:t>
      </w:r>
      <w:r w:rsidR="009801C4">
        <w:rPr>
          <w:rFonts w:ascii="Calibri" w:eastAsia="Calibri" w:hAnsi="Calibri"/>
          <w:sz w:val="28"/>
          <w:szCs w:val="28"/>
        </w:rPr>
        <w:t>S</w:t>
      </w:r>
      <w:r w:rsidRPr="00566090">
        <w:rPr>
          <w:rFonts w:ascii="Calibri" w:eastAsia="Calibri" w:hAnsi="Calibri"/>
          <w:sz w:val="28"/>
          <w:szCs w:val="28"/>
        </w:rPr>
        <w:t>chool lunch isn’t as healthy as it should be.</w:t>
      </w:r>
    </w:p>
    <w:p w14:paraId="3699A4B0" w14:textId="77777777" w:rsidR="005511AE" w:rsidRDefault="005511AE" w:rsidP="005511AE">
      <w:pPr>
        <w:rPr>
          <w:rFonts w:ascii="Calibri" w:eastAsia="Calibri" w:hAnsi="Calibri"/>
          <w:b/>
          <w:sz w:val="28"/>
          <w:szCs w:val="28"/>
        </w:rPr>
      </w:pPr>
      <w:r>
        <w:rPr>
          <w:rFonts w:ascii="Calibri" w:eastAsia="Calibri" w:hAnsi="Calibri"/>
          <w:b/>
          <w:sz w:val="28"/>
          <w:szCs w:val="28"/>
        </w:rPr>
        <w:t>#1</w:t>
      </w:r>
    </w:p>
    <w:p w14:paraId="3F4FC490" w14:textId="77777777" w:rsidR="005511AE" w:rsidRDefault="005511AE" w:rsidP="005511AE">
      <w:pPr>
        <w:rPr>
          <w:rFonts w:ascii="Calibri" w:eastAsia="Calibri" w:hAnsi="Calibri"/>
        </w:rPr>
      </w:pPr>
      <w:r>
        <w:rPr>
          <w:rFonts w:ascii="Calibri" w:eastAsia="Calibri" w:hAnsi="Calibri"/>
          <w:b/>
        </w:rPr>
        <w:t xml:space="preserve">Factual </w:t>
      </w:r>
      <w:r w:rsidRPr="00C54695">
        <w:rPr>
          <w:rFonts w:ascii="Calibri" w:eastAsia="Calibri" w:hAnsi="Calibri"/>
          <w:b/>
        </w:rPr>
        <w:t>Evidence</w:t>
      </w:r>
      <w:r>
        <w:rPr>
          <w:rFonts w:ascii="Calibri" w:eastAsia="Calibri" w:hAnsi="Calibri"/>
        </w:rPr>
        <w:t>:</w:t>
      </w:r>
      <w:r w:rsidRPr="00C54695">
        <w:rPr>
          <w:rFonts w:ascii="Calibri" w:eastAsia="Calibri" w:hAnsi="Calibri"/>
        </w:rPr>
        <w:t xml:space="preserve"> A single serving of chicken nuggets (5 pieces) can contain up to 500 milligrams of sodium, the total amount of salt children should consume daily. (</w:t>
      </w:r>
      <w:hyperlink r:id="rId13" w:history="1">
        <w:r w:rsidRPr="003B0429">
          <w:rPr>
            <w:rStyle w:val="Hyperlink"/>
            <w:rFonts w:ascii="Calibri" w:eastAsia="Calibri" w:hAnsi="Calibri"/>
          </w:rPr>
          <w:t>www.webmd.com</w:t>
        </w:r>
      </w:hyperlink>
      <w:r w:rsidRPr="00C54695">
        <w:rPr>
          <w:rFonts w:ascii="Calibri" w:eastAsia="Calibri" w:hAnsi="Calibri"/>
        </w:rPr>
        <w:t>)</w:t>
      </w:r>
    </w:p>
    <w:p w14:paraId="72348CDF" w14:textId="77777777" w:rsidR="005511AE" w:rsidRDefault="005511AE" w:rsidP="005511AE">
      <w:pPr>
        <w:rPr>
          <w:rFonts w:ascii="Calibri" w:eastAsia="Calibri" w:hAnsi="Calibri"/>
        </w:rPr>
      </w:pPr>
    </w:p>
    <w:p w14:paraId="650D2891" w14:textId="77777777" w:rsidR="005511AE" w:rsidRDefault="005511AE" w:rsidP="005511AE">
      <w:pPr>
        <w:rPr>
          <w:rFonts w:ascii="Calibri" w:eastAsia="Calibri" w:hAnsi="Calibri"/>
        </w:rPr>
      </w:pPr>
      <w:r w:rsidRPr="00C54695">
        <w:rPr>
          <w:rFonts w:ascii="Calibri" w:eastAsia="Calibri" w:hAnsi="Calibri"/>
          <w:b/>
        </w:rPr>
        <w:t>Commentary:</w:t>
      </w:r>
      <w:r>
        <w:rPr>
          <w:rFonts w:ascii="Calibri" w:eastAsia="Calibri" w:hAnsi="Calibri"/>
          <w:sz w:val="20"/>
          <w:szCs w:val="20"/>
        </w:rPr>
        <w:t xml:space="preserve"> </w:t>
      </w:r>
      <w:r>
        <w:rPr>
          <w:rFonts w:ascii="Calibri" w:eastAsia="Calibri" w:hAnsi="Calibri"/>
        </w:rPr>
        <w:t xml:space="preserve">These numbers are important </w:t>
      </w:r>
      <w:r w:rsidRPr="0050233F">
        <w:rPr>
          <w:rFonts w:ascii="Calibri" w:eastAsia="Calibri" w:hAnsi="Calibri"/>
          <w:b/>
          <w:color w:val="FF0000"/>
        </w:rPr>
        <w:t>because</w:t>
      </w:r>
      <w:r>
        <w:rPr>
          <w:rFonts w:ascii="Calibri" w:eastAsia="Calibri" w:hAnsi="Calibri"/>
        </w:rPr>
        <w:t xml:space="preserve"> they </w:t>
      </w:r>
      <w:r>
        <w:rPr>
          <w:rFonts w:ascii="Calibri" w:eastAsia="Calibri" w:hAnsi="Calibri"/>
          <w:u w:val="single"/>
        </w:rPr>
        <w:t>point to</w:t>
      </w:r>
      <w:r>
        <w:rPr>
          <w:rFonts w:ascii="Calibri" w:eastAsia="Calibri" w:hAnsi="Calibri"/>
        </w:rPr>
        <w:t xml:space="preserve"> the effects of poor nutrition and how serious the school lunch problem is.  Chicken nuggets, commonly served to students in school lunchrooms, </w:t>
      </w:r>
      <w:r w:rsidRPr="00C61F15">
        <w:rPr>
          <w:rFonts w:ascii="Calibri" w:eastAsia="Calibri" w:hAnsi="Calibri"/>
          <w:u w:val="single"/>
        </w:rPr>
        <w:t>exemplify</w:t>
      </w:r>
      <w:r>
        <w:rPr>
          <w:rFonts w:ascii="Calibri" w:eastAsia="Calibri" w:hAnsi="Calibri"/>
        </w:rPr>
        <w:t xml:space="preserve"> the poor nutritional quality of school food.  If children eat that much sodium on a regular basis, they are headed for a life of weight gain and high blood pressure. </w:t>
      </w:r>
    </w:p>
    <w:p w14:paraId="44DA2FB2" w14:textId="77777777" w:rsidR="005511AE" w:rsidRDefault="005511AE" w:rsidP="005511AE">
      <w:pPr>
        <w:rPr>
          <w:rFonts w:ascii="Calibri" w:eastAsia="Calibri" w:hAnsi="Calibri"/>
        </w:rPr>
      </w:pPr>
    </w:p>
    <w:p w14:paraId="0164A486" w14:textId="77777777" w:rsidR="005511AE" w:rsidRPr="00C35F59" w:rsidRDefault="005511AE" w:rsidP="005511AE">
      <w:pPr>
        <w:rPr>
          <w:rFonts w:ascii="Calibri" w:eastAsia="Calibri" w:hAnsi="Calibri"/>
          <w:b/>
        </w:rPr>
      </w:pPr>
      <w:r w:rsidRPr="00C35F59">
        <w:rPr>
          <w:rFonts w:ascii="Calibri" w:eastAsia="Calibri" w:hAnsi="Calibri"/>
          <w:b/>
        </w:rPr>
        <w:t>#2</w:t>
      </w:r>
    </w:p>
    <w:p w14:paraId="0D084887" w14:textId="77777777" w:rsidR="005511AE" w:rsidRDefault="005511AE" w:rsidP="005511AE">
      <w:pPr>
        <w:rPr>
          <w:rFonts w:ascii="Calibri" w:eastAsia="Calibri" w:hAnsi="Calibri"/>
        </w:rPr>
      </w:pPr>
      <w:r w:rsidRPr="007613C4">
        <w:rPr>
          <w:rFonts w:ascii="Calibri" w:eastAsia="Calibri" w:hAnsi="Calibri"/>
          <w:b/>
        </w:rPr>
        <w:t>Anecdotal Evidence:</w:t>
      </w:r>
      <w:r>
        <w:rPr>
          <w:rFonts w:ascii="Calibri" w:eastAsia="Calibri" w:hAnsi="Calibri"/>
        </w:rPr>
        <w:t xml:space="preserve"> </w:t>
      </w:r>
      <w:r w:rsidRPr="00E075A0">
        <w:rPr>
          <w:rFonts w:ascii="Calibri" w:eastAsia="Calibri" w:hAnsi="Calibri"/>
        </w:rPr>
        <w:t>My friends and I always feel sluggish after lunch</w:t>
      </w:r>
      <w:r>
        <w:rPr>
          <w:rFonts w:ascii="Calibri" w:eastAsia="Calibri" w:hAnsi="Calibri"/>
        </w:rPr>
        <w:t>.  Tanesha said, “I can hardly stay awake in art class after rushing through our 20 minute lunch.”</w:t>
      </w:r>
    </w:p>
    <w:p w14:paraId="11D31E17" w14:textId="77777777" w:rsidR="005511AE" w:rsidRDefault="005511AE" w:rsidP="005511AE">
      <w:pPr>
        <w:rPr>
          <w:rFonts w:ascii="Calibri" w:eastAsia="Calibri" w:hAnsi="Calibri"/>
        </w:rPr>
      </w:pPr>
    </w:p>
    <w:p w14:paraId="6B361C6D" w14:textId="77777777" w:rsidR="005511AE" w:rsidRPr="0050233F" w:rsidRDefault="005511AE" w:rsidP="005511AE">
      <w:pPr>
        <w:rPr>
          <w:rFonts w:ascii="Calibri" w:eastAsia="Calibri" w:hAnsi="Calibri"/>
        </w:rPr>
      </w:pPr>
      <w:r w:rsidRPr="000700D8">
        <w:rPr>
          <w:rFonts w:ascii="Calibri" w:eastAsia="Calibri" w:hAnsi="Calibri"/>
          <w:b/>
        </w:rPr>
        <w:t>Commentary</w:t>
      </w:r>
      <w:r>
        <w:rPr>
          <w:rFonts w:ascii="Calibri" w:eastAsia="Calibri" w:hAnsi="Calibri"/>
        </w:rPr>
        <w:t xml:space="preserve">: Tanesha’s statement about feeling tired after inhaling her lunch </w:t>
      </w:r>
      <w:r>
        <w:rPr>
          <w:rFonts w:ascii="Calibri" w:eastAsia="Calibri" w:hAnsi="Calibri"/>
          <w:u w:val="single"/>
        </w:rPr>
        <w:t>confirms</w:t>
      </w:r>
      <w:r>
        <w:rPr>
          <w:rFonts w:ascii="Calibri" w:eastAsia="Calibri" w:hAnsi="Calibri"/>
        </w:rPr>
        <w:t xml:space="preserve"> the negative effects that foods high in carbohydrates and sugar can have on young minds that need protein and vegetables, brain food, to be more lively and active class participants.  If she ate more nutritious food at lunch, she might be more awake for art class.  Leaders and decision-makers must pay attention to such experiences </w:t>
      </w:r>
      <w:r w:rsidRPr="0050233F">
        <w:rPr>
          <w:rFonts w:ascii="Calibri" w:eastAsia="Calibri" w:hAnsi="Calibri"/>
          <w:b/>
          <w:color w:val="FF0000"/>
        </w:rPr>
        <w:t>because</w:t>
      </w:r>
      <w:r>
        <w:rPr>
          <w:rFonts w:ascii="Calibri" w:eastAsia="Calibri" w:hAnsi="Calibri"/>
        </w:rPr>
        <w:t xml:space="preserve"> they </w:t>
      </w:r>
      <w:r>
        <w:rPr>
          <w:rFonts w:ascii="Calibri" w:eastAsia="Calibri" w:hAnsi="Calibri"/>
          <w:u w:val="single"/>
        </w:rPr>
        <w:t>prove</w:t>
      </w:r>
      <w:r>
        <w:rPr>
          <w:rFonts w:ascii="Calibri" w:eastAsia="Calibri" w:hAnsi="Calibri"/>
        </w:rPr>
        <w:t xml:space="preserve"> that there is a relationship between what we eat and how well we learn.</w:t>
      </w:r>
    </w:p>
    <w:p w14:paraId="15ED6F68" w14:textId="77777777" w:rsidR="005511AE" w:rsidRDefault="005511AE" w:rsidP="005511AE">
      <w:pPr>
        <w:rPr>
          <w:rFonts w:ascii="Calibri" w:eastAsia="Calibri" w:hAnsi="Calibri"/>
        </w:rPr>
      </w:pPr>
    </w:p>
    <w:p w14:paraId="50D7B6EE" w14:textId="77777777" w:rsidR="005511AE" w:rsidRDefault="005511AE" w:rsidP="005511AE">
      <w:pPr>
        <w:rPr>
          <w:rFonts w:ascii="Calibri" w:eastAsia="Calibri" w:hAnsi="Calibri"/>
          <w:b/>
          <w:i/>
          <w:sz w:val="32"/>
          <w:szCs w:val="32"/>
        </w:rPr>
      </w:pPr>
    </w:p>
    <w:p w14:paraId="7E91B39B" w14:textId="77777777" w:rsidR="005511AE" w:rsidRDefault="005511AE" w:rsidP="005511AE">
      <w:pPr>
        <w:rPr>
          <w:rFonts w:ascii="Calibri" w:eastAsia="Calibri" w:hAnsi="Calibri"/>
          <w:b/>
          <w:i/>
          <w:sz w:val="32"/>
          <w:szCs w:val="32"/>
        </w:rPr>
      </w:pPr>
    </w:p>
    <w:p w14:paraId="36A437C5" w14:textId="77777777" w:rsidR="005511AE" w:rsidRDefault="005511AE" w:rsidP="005511AE">
      <w:pPr>
        <w:rPr>
          <w:rFonts w:ascii="Calibri" w:eastAsia="Calibri" w:hAnsi="Calibri"/>
          <w:b/>
          <w:i/>
          <w:sz w:val="32"/>
          <w:szCs w:val="32"/>
        </w:rPr>
      </w:pPr>
    </w:p>
    <w:p w14:paraId="54FC6126" w14:textId="77777777" w:rsidR="005511AE" w:rsidRDefault="005511AE" w:rsidP="005511AE">
      <w:pPr>
        <w:rPr>
          <w:rFonts w:ascii="Calibri" w:eastAsia="Calibri" w:hAnsi="Calibri"/>
          <w:b/>
          <w:i/>
          <w:sz w:val="32"/>
          <w:szCs w:val="32"/>
        </w:rPr>
      </w:pPr>
    </w:p>
    <w:p w14:paraId="7127CDD0" w14:textId="77777777" w:rsidR="005511AE" w:rsidRDefault="005511AE" w:rsidP="005511AE">
      <w:pPr>
        <w:rPr>
          <w:rFonts w:ascii="Calibri" w:eastAsia="Calibri" w:hAnsi="Calibri"/>
          <w:b/>
          <w:i/>
          <w:sz w:val="32"/>
          <w:szCs w:val="32"/>
        </w:rPr>
      </w:pPr>
    </w:p>
    <w:p w14:paraId="1F0F8AB1" w14:textId="77777777" w:rsidR="005511AE" w:rsidRDefault="005511AE" w:rsidP="005511AE">
      <w:pPr>
        <w:rPr>
          <w:rFonts w:ascii="Calibri" w:eastAsia="Calibri" w:hAnsi="Calibri"/>
          <w:b/>
          <w:i/>
          <w:sz w:val="32"/>
          <w:szCs w:val="32"/>
        </w:rPr>
      </w:pPr>
    </w:p>
    <w:p w14:paraId="324871F5" w14:textId="77777777" w:rsidR="005511AE" w:rsidRDefault="005511AE" w:rsidP="005511AE">
      <w:pPr>
        <w:rPr>
          <w:rFonts w:ascii="Calibri" w:eastAsia="Calibri" w:hAnsi="Calibri"/>
          <w:b/>
          <w:i/>
          <w:sz w:val="32"/>
          <w:szCs w:val="32"/>
        </w:rPr>
      </w:pPr>
    </w:p>
    <w:p w14:paraId="20488CB0" w14:textId="77777777" w:rsidR="005511AE" w:rsidRDefault="005511AE" w:rsidP="005511AE">
      <w:pPr>
        <w:rPr>
          <w:rFonts w:ascii="Calibri" w:eastAsia="Calibri" w:hAnsi="Calibri"/>
          <w:b/>
          <w:i/>
          <w:sz w:val="32"/>
          <w:szCs w:val="32"/>
        </w:rPr>
      </w:pPr>
    </w:p>
    <w:p w14:paraId="1A49F6C2" w14:textId="77777777" w:rsidR="005511AE" w:rsidRDefault="005511AE" w:rsidP="006A6B51">
      <w:pPr>
        <w:rPr>
          <w:rFonts w:ascii="Calibri" w:eastAsia="Calibri" w:hAnsi="Calibri"/>
          <w:b/>
          <w:sz w:val="36"/>
          <w:szCs w:val="36"/>
        </w:rPr>
      </w:pPr>
    </w:p>
    <w:sectPr w:rsidR="005511AE" w:rsidSect="005511AE">
      <w:headerReference w:type="default" r:id="rId14"/>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19B6" w14:textId="77777777" w:rsidR="006A6B51" w:rsidRDefault="006A6B51" w:rsidP="006A6B51">
      <w:r>
        <w:separator/>
      </w:r>
    </w:p>
  </w:endnote>
  <w:endnote w:type="continuationSeparator" w:id="0">
    <w:p w14:paraId="2EF6983E" w14:textId="77777777" w:rsidR="006A6B51" w:rsidRDefault="006A6B51" w:rsidP="006A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E6C8B" w14:textId="77777777" w:rsidR="006A6B51" w:rsidRDefault="006A6B51" w:rsidP="006A6B51">
      <w:r>
        <w:separator/>
      </w:r>
    </w:p>
  </w:footnote>
  <w:footnote w:type="continuationSeparator" w:id="0">
    <w:p w14:paraId="5AD7CEB5" w14:textId="77777777" w:rsidR="006A6B51" w:rsidRDefault="006A6B51" w:rsidP="006A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2C6D" w14:textId="77777777" w:rsidR="006A6B51" w:rsidRDefault="006A6B51">
    <w:pPr>
      <w:pStyle w:val="Header"/>
    </w:pPr>
    <w:r>
      <w:t>Argument paragraph day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65E04"/>
    <w:multiLevelType w:val="hybridMultilevel"/>
    <w:tmpl w:val="257A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B07EE"/>
    <w:multiLevelType w:val="hybridMultilevel"/>
    <w:tmpl w:val="BEA2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1AE"/>
    <w:rsid w:val="005511AE"/>
    <w:rsid w:val="0063760C"/>
    <w:rsid w:val="006A6B51"/>
    <w:rsid w:val="00847526"/>
    <w:rsid w:val="009801C4"/>
    <w:rsid w:val="00D31CD3"/>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3F09"/>
  <w15:docId w15:val="{DF723346-796C-4F1D-8A8B-B4415871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1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11AE"/>
    <w:rPr>
      <w:color w:val="0000FF"/>
      <w:u w:val="single"/>
    </w:rPr>
  </w:style>
  <w:style w:type="paragraph" w:styleId="BalloonText">
    <w:name w:val="Balloon Text"/>
    <w:basedOn w:val="Normal"/>
    <w:link w:val="BalloonTextChar"/>
    <w:uiPriority w:val="99"/>
    <w:semiHidden/>
    <w:unhideWhenUsed/>
    <w:rsid w:val="005511AE"/>
    <w:rPr>
      <w:rFonts w:ascii="Tahoma" w:hAnsi="Tahoma" w:cs="Tahoma"/>
      <w:sz w:val="16"/>
      <w:szCs w:val="16"/>
    </w:rPr>
  </w:style>
  <w:style w:type="character" w:customStyle="1" w:styleId="BalloonTextChar">
    <w:name w:val="Balloon Text Char"/>
    <w:basedOn w:val="DefaultParagraphFont"/>
    <w:link w:val="BalloonText"/>
    <w:uiPriority w:val="99"/>
    <w:semiHidden/>
    <w:rsid w:val="005511AE"/>
    <w:rPr>
      <w:rFonts w:ascii="Tahoma" w:eastAsia="Times New Roman" w:hAnsi="Tahoma" w:cs="Tahoma"/>
      <w:sz w:val="16"/>
      <w:szCs w:val="16"/>
    </w:rPr>
  </w:style>
  <w:style w:type="paragraph" w:styleId="Header">
    <w:name w:val="header"/>
    <w:basedOn w:val="Normal"/>
    <w:link w:val="HeaderChar"/>
    <w:uiPriority w:val="99"/>
    <w:unhideWhenUsed/>
    <w:rsid w:val="006A6B51"/>
    <w:pPr>
      <w:tabs>
        <w:tab w:val="center" w:pos="4680"/>
        <w:tab w:val="right" w:pos="9360"/>
      </w:tabs>
    </w:pPr>
  </w:style>
  <w:style w:type="character" w:customStyle="1" w:styleId="HeaderChar">
    <w:name w:val="Header Char"/>
    <w:basedOn w:val="DefaultParagraphFont"/>
    <w:link w:val="Header"/>
    <w:uiPriority w:val="99"/>
    <w:rsid w:val="006A6B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6B51"/>
    <w:pPr>
      <w:tabs>
        <w:tab w:val="center" w:pos="4680"/>
        <w:tab w:val="right" w:pos="9360"/>
      </w:tabs>
    </w:pPr>
  </w:style>
  <w:style w:type="character" w:customStyle="1" w:styleId="FooterChar">
    <w:name w:val="Footer Char"/>
    <w:basedOn w:val="DefaultParagraphFont"/>
    <w:link w:val="Footer"/>
    <w:uiPriority w:val="99"/>
    <w:rsid w:val="006A6B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webmd.com"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webm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54A763-5517-D944-9F06-B4806FB95E4D}" type="doc">
      <dgm:prSet loTypeId="urn:microsoft.com/office/officeart/2008/layout/RadialCluster" loCatId="" qsTypeId="urn:microsoft.com/office/officeart/2005/8/quickstyle/simple3" qsCatId="simple" csTypeId="urn:microsoft.com/office/officeart/2005/8/colors/accent1_2" csCatId="accent1" phldr="1"/>
      <dgm:spPr/>
      <dgm:t>
        <a:bodyPr/>
        <a:lstStyle/>
        <a:p>
          <a:endParaRPr lang="en-US"/>
        </a:p>
      </dgm:t>
    </dgm:pt>
    <dgm:pt modelId="{9F77E6A9-21EA-7A4D-9007-F8F89A422EA0}">
      <dgm:prSet phldrT="[Text]" custT="1"/>
      <dgm:spPr>
        <a:xfrm>
          <a:off x="2179282" y="1488936"/>
          <a:ext cx="1143003" cy="96012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b="1">
              <a:solidFill>
                <a:sysClr val="windowText" lastClr="000000"/>
              </a:solidFill>
              <a:latin typeface="Calibri"/>
              <a:ea typeface="+mn-ea"/>
              <a:cs typeface="+mn-cs"/>
            </a:rPr>
            <a:t>Commentary</a:t>
          </a:r>
        </a:p>
      </dgm:t>
    </dgm:pt>
    <dgm:pt modelId="{E8233066-92C5-A647-91C5-48689CC33752}" type="parTrans" cxnId="{67AD4526-DA0A-D145-9D59-9AEAAD953C37}">
      <dgm:prSet/>
      <dgm:spPr/>
      <dgm:t>
        <a:bodyPr/>
        <a:lstStyle/>
        <a:p>
          <a:endParaRPr lang="en-US"/>
        </a:p>
      </dgm:t>
    </dgm:pt>
    <dgm:pt modelId="{409B9C15-3494-FB4A-A52E-8307938B5CAB}" type="sibTrans" cxnId="{67AD4526-DA0A-D145-9D59-9AEAAD953C37}">
      <dgm:prSet/>
      <dgm:spPr/>
      <dgm:t>
        <a:bodyPr/>
        <a:lstStyle/>
        <a:p>
          <a:endParaRPr lang="en-US"/>
        </a:p>
      </dgm:t>
    </dgm:pt>
    <dgm:pt modelId="{292C22F5-F2D8-8747-A171-1D50D9931736}">
      <dgm:prSet phldrT="[Text]"/>
      <dgm:spPr>
        <a:xfrm>
          <a:off x="2351239" y="172171"/>
          <a:ext cx="799089" cy="643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Calibri"/>
              <a:ea typeface="+mn-ea"/>
              <a:cs typeface="+mn-cs"/>
            </a:rPr>
            <a:t>Connects</a:t>
          </a:r>
          <a:r>
            <a:rPr lang="en-US">
              <a:solidFill>
                <a:sysClr val="windowText" lastClr="000000"/>
              </a:solidFill>
              <a:latin typeface="Calibri"/>
              <a:ea typeface="+mn-ea"/>
              <a:cs typeface="+mn-cs"/>
            </a:rPr>
            <a:t> evidence to claim</a:t>
          </a:r>
        </a:p>
      </dgm:t>
    </dgm:pt>
    <dgm:pt modelId="{F41856D9-EC7B-FE4D-AA66-D58F96F8ACF0}" type="parTrans" cxnId="{B2022CB6-CC41-034A-ACC2-3A3A8051C9C7}">
      <dgm:prSet/>
      <dgm:spPr>
        <a:xfrm rot="16200000">
          <a:off x="2414042" y="1152194"/>
          <a:ext cx="673484" cy="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53F9589-3E0A-9647-AF08-805895798E9C}" type="sibTrans" cxnId="{B2022CB6-CC41-034A-ACC2-3A3A8051C9C7}">
      <dgm:prSet/>
      <dgm:spPr/>
      <dgm:t>
        <a:bodyPr/>
        <a:lstStyle/>
        <a:p>
          <a:endParaRPr lang="en-US"/>
        </a:p>
      </dgm:t>
    </dgm:pt>
    <dgm:pt modelId="{2B0F53FD-399C-DA41-AC8C-92E7277D2A52}">
      <dgm:prSet phldrT="[Text]" custT="1"/>
      <dgm:spPr>
        <a:xfrm>
          <a:off x="3534732" y="2384948"/>
          <a:ext cx="987197" cy="643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b="1">
              <a:solidFill>
                <a:sysClr val="windowText" lastClr="000000"/>
              </a:solidFill>
              <a:latin typeface="Calibri"/>
              <a:ea typeface="+mn-ea"/>
              <a:cs typeface="+mn-cs"/>
            </a:rPr>
            <a:t>Explains</a:t>
          </a:r>
          <a:r>
            <a:rPr lang="en-US" sz="1100">
              <a:solidFill>
                <a:sysClr val="windowText" lastClr="000000"/>
              </a:solidFill>
              <a:latin typeface="Calibri"/>
              <a:ea typeface="+mn-ea"/>
              <a:cs typeface="+mn-cs"/>
            </a:rPr>
            <a:t> evidence</a:t>
          </a:r>
        </a:p>
      </dgm:t>
    </dgm:pt>
    <dgm:pt modelId="{EA4163F1-8749-D944-99C8-1DF872C2BB22}" type="parTrans" cxnId="{B4D746E8-FAD6-3748-9084-A3015F80433E}">
      <dgm:prSet/>
      <dgm:spPr>
        <a:xfrm rot="1800000">
          <a:off x="3305853" y="2360280"/>
          <a:ext cx="245312" cy="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5B2550DD-A7AB-5241-8D60-F4E41BD0A3B5}" type="sibTrans" cxnId="{B4D746E8-FAD6-3748-9084-A3015F80433E}">
      <dgm:prSet/>
      <dgm:spPr/>
      <dgm:t>
        <a:bodyPr/>
        <a:lstStyle/>
        <a:p>
          <a:endParaRPr lang="en-US"/>
        </a:p>
      </dgm:t>
    </dgm:pt>
    <dgm:pt modelId="{DF2AE27B-A127-4E48-ABF0-FBF5A73311C5}">
      <dgm:prSet phldrT="[Text]"/>
      <dgm:spPr>
        <a:xfrm>
          <a:off x="964469" y="2384948"/>
          <a:ext cx="1017534" cy="643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Calibri"/>
              <a:ea typeface="+mn-ea"/>
              <a:cs typeface="+mn-cs"/>
            </a:rPr>
            <a:t>Provides</a:t>
          </a:r>
          <a:r>
            <a:rPr lang="en-US">
              <a:solidFill>
                <a:sysClr val="windowText" lastClr="000000"/>
              </a:solidFill>
              <a:latin typeface="Calibri"/>
              <a:ea typeface="+mn-ea"/>
              <a:cs typeface="+mn-cs"/>
            </a:rPr>
            <a:t> </a:t>
          </a:r>
          <a:r>
            <a:rPr lang="en-US" b="1">
              <a:solidFill>
                <a:sysClr val="windowText" lastClr="000000"/>
              </a:solidFill>
              <a:latin typeface="Calibri"/>
              <a:ea typeface="+mn-ea"/>
              <a:cs typeface="+mn-cs"/>
            </a:rPr>
            <a:t>significance</a:t>
          </a:r>
          <a:r>
            <a:rPr lang="en-US">
              <a:solidFill>
                <a:sysClr val="windowText" lastClr="000000"/>
              </a:solidFill>
              <a:latin typeface="Calibri"/>
              <a:ea typeface="+mn-ea"/>
              <a:cs typeface="+mn-cs"/>
            </a:rPr>
            <a:t> of evidence</a:t>
          </a:r>
        </a:p>
      </dgm:t>
    </dgm:pt>
    <dgm:pt modelId="{CF4D16A3-31AB-4A4A-98FF-0B721C1546B0}" type="parTrans" cxnId="{A4858FDB-9004-7E4D-BC72-4F508EEB6141}">
      <dgm:prSet/>
      <dgm:spPr>
        <a:xfrm rot="9000000">
          <a:off x="1966744" y="2355902"/>
          <a:ext cx="227797" cy="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CA87AE9-FD94-6540-94E2-24C3A6DBE605}" type="sibTrans" cxnId="{A4858FDB-9004-7E4D-BC72-4F508EEB6141}">
      <dgm:prSet/>
      <dgm:spPr/>
      <dgm:t>
        <a:bodyPr/>
        <a:lstStyle/>
        <a:p>
          <a:endParaRPr lang="en-US"/>
        </a:p>
      </dgm:t>
    </dgm:pt>
    <dgm:pt modelId="{B7C60D9B-56EE-FB41-8565-2B9F0593A413}" type="pres">
      <dgm:prSet presAssocID="{9554A763-5517-D944-9F06-B4806FB95E4D}" presName="Name0" presStyleCnt="0">
        <dgm:presLayoutVars>
          <dgm:chMax val="1"/>
          <dgm:chPref val="1"/>
          <dgm:dir/>
          <dgm:animOne val="branch"/>
          <dgm:animLvl val="lvl"/>
        </dgm:presLayoutVars>
      </dgm:prSet>
      <dgm:spPr/>
    </dgm:pt>
    <dgm:pt modelId="{0F1BD8E0-DE29-FF4E-9C31-A2D3390D04A7}" type="pres">
      <dgm:prSet presAssocID="{9F77E6A9-21EA-7A4D-9007-F8F89A422EA0}" presName="singleCycle" presStyleCnt="0"/>
      <dgm:spPr/>
    </dgm:pt>
    <dgm:pt modelId="{7571582B-E63D-9244-80D8-A811BE32382B}" type="pres">
      <dgm:prSet presAssocID="{9F77E6A9-21EA-7A4D-9007-F8F89A422EA0}" presName="singleCenter" presStyleLbl="node1" presStyleIdx="0" presStyleCnt="4" custScaleX="176198" custLinFactNeighborY="-5955">
        <dgm:presLayoutVars>
          <dgm:chMax val="7"/>
          <dgm:chPref val="7"/>
        </dgm:presLayoutVars>
      </dgm:prSet>
      <dgm:spPr>
        <a:prstGeom prst="roundRect">
          <a:avLst/>
        </a:prstGeom>
      </dgm:spPr>
    </dgm:pt>
    <dgm:pt modelId="{EFA5B77B-9299-0147-9693-3D53159BD118}" type="pres">
      <dgm:prSet presAssocID="{F41856D9-EC7B-FE4D-AA66-D58F96F8ACF0}" presName="Name56" presStyleLbl="parChTrans1D2" presStyleIdx="0" presStyleCnt="3"/>
      <dgm:spPr>
        <a:custGeom>
          <a:avLst/>
          <a:gdLst/>
          <a:ahLst/>
          <a:cxnLst/>
          <a:rect l="0" t="0" r="0" b="0"/>
          <a:pathLst>
            <a:path>
              <a:moveTo>
                <a:pt x="0" y="0"/>
              </a:moveTo>
              <a:lnTo>
                <a:pt x="673484" y="0"/>
              </a:lnTo>
            </a:path>
          </a:pathLst>
        </a:custGeom>
      </dgm:spPr>
    </dgm:pt>
    <dgm:pt modelId="{8B0D271E-2848-4347-AD98-AF776022111C}" type="pres">
      <dgm:prSet presAssocID="{292C22F5-F2D8-8747-A171-1D50D9931736}" presName="text0" presStyleLbl="node1" presStyleIdx="1" presStyleCnt="4" custScaleX="124221">
        <dgm:presLayoutVars>
          <dgm:bulletEnabled val="1"/>
        </dgm:presLayoutVars>
      </dgm:prSet>
      <dgm:spPr>
        <a:prstGeom prst="roundRect">
          <a:avLst/>
        </a:prstGeom>
      </dgm:spPr>
    </dgm:pt>
    <dgm:pt modelId="{6EA871FC-A906-DF4D-8E72-5F3153E3EF42}" type="pres">
      <dgm:prSet presAssocID="{EA4163F1-8749-D944-99C8-1DF872C2BB22}" presName="Name56" presStyleLbl="parChTrans1D2" presStyleIdx="1" presStyleCnt="3"/>
      <dgm:spPr>
        <a:custGeom>
          <a:avLst/>
          <a:gdLst/>
          <a:ahLst/>
          <a:cxnLst/>
          <a:rect l="0" t="0" r="0" b="0"/>
          <a:pathLst>
            <a:path>
              <a:moveTo>
                <a:pt x="0" y="0"/>
              </a:moveTo>
              <a:lnTo>
                <a:pt x="245312" y="0"/>
              </a:lnTo>
            </a:path>
          </a:pathLst>
        </a:custGeom>
      </dgm:spPr>
    </dgm:pt>
    <dgm:pt modelId="{6FA32ED9-47D9-D942-AB2E-3DAE440EF0E8}" type="pres">
      <dgm:prSet presAssocID="{2B0F53FD-399C-DA41-AC8C-92E7277D2A52}" presName="text0" presStyleLbl="node1" presStyleIdx="2" presStyleCnt="4" custScaleX="153463">
        <dgm:presLayoutVars>
          <dgm:bulletEnabled val="1"/>
        </dgm:presLayoutVars>
      </dgm:prSet>
      <dgm:spPr>
        <a:prstGeom prst="roundRect">
          <a:avLst/>
        </a:prstGeom>
      </dgm:spPr>
    </dgm:pt>
    <dgm:pt modelId="{BE2C1921-1AEE-5A4A-8755-F3A5993550FD}" type="pres">
      <dgm:prSet presAssocID="{CF4D16A3-31AB-4A4A-98FF-0B721C1546B0}" presName="Name56" presStyleLbl="parChTrans1D2" presStyleIdx="2" presStyleCnt="3"/>
      <dgm:spPr>
        <a:custGeom>
          <a:avLst/>
          <a:gdLst/>
          <a:ahLst/>
          <a:cxnLst/>
          <a:rect l="0" t="0" r="0" b="0"/>
          <a:pathLst>
            <a:path>
              <a:moveTo>
                <a:pt x="0" y="0"/>
              </a:moveTo>
              <a:lnTo>
                <a:pt x="227797" y="0"/>
              </a:lnTo>
            </a:path>
          </a:pathLst>
        </a:custGeom>
      </dgm:spPr>
    </dgm:pt>
    <dgm:pt modelId="{29D42C5A-92B5-6047-9B32-DCAF6230A2CE}" type="pres">
      <dgm:prSet presAssocID="{DF2AE27B-A127-4E48-ABF0-FBF5A73311C5}" presName="text0" presStyleLbl="node1" presStyleIdx="3" presStyleCnt="4" custScaleX="158179">
        <dgm:presLayoutVars>
          <dgm:bulletEnabled val="1"/>
        </dgm:presLayoutVars>
      </dgm:prSet>
      <dgm:spPr>
        <a:prstGeom prst="roundRect">
          <a:avLst/>
        </a:prstGeom>
      </dgm:spPr>
    </dgm:pt>
  </dgm:ptLst>
  <dgm:cxnLst>
    <dgm:cxn modelId="{92987304-71F2-4AAD-8409-2A53825A1D2C}" type="presOf" srcId="{F41856D9-EC7B-FE4D-AA66-D58F96F8ACF0}" destId="{EFA5B77B-9299-0147-9693-3D53159BD118}" srcOrd="0" destOrd="0" presId="urn:microsoft.com/office/officeart/2008/layout/RadialCluster"/>
    <dgm:cxn modelId="{67AD4526-DA0A-D145-9D59-9AEAAD953C37}" srcId="{9554A763-5517-D944-9F06-B4806FB95E4D}" destId="{9F77E6A9-21EA-7A4D-9007-F8F89A422EA0}" srcOrd="0" destOrd="0" parTransId="{E8233066-92C5-A647-91C5-48689CC33752}" sibTransId="{409B9C15-3494-FB4A-A52E-8307938B5CAB}"/>
    <dgm:cxn modelId="{DD0EC848-3BEA-4A8D-A16E-FAB2F9257B6F}" type="presOf" srcId="{CF4D16A3-31AB-4A4A-98FF-0B721C1546B0}" destId="{BE2C1921-1AEE-5A4A-8755-F3A5993550FD}" srcOrd="0" destOrd="0" presId="urn:microsoft.com/office/officeart/2008/layout/RadialCluster"/>
    <dgm:cxn modelId="{56B76E54-71BB-4A93-8654-8C6C25AA3649}" type="presOf" srcId="{9554A763-5517-D944-9F06-B4806FB95E4D}" destId="{B7C60D9B-56EE-FB41-8565-2B9F0593A413}" srcOrd="0" destOrd="0" presId="urn:microsoft.com/office/officeart/2008/layout/RadialCluster"/>
    <dgm:cxn modelId="{0D915485-E386-4050-80F8-7219A7A99D58}" type="presOf" srcId="{292C22F5-F2D8-8747-A171-1D50D9931736}" destId="{8B0D271E-2848-4347-AD98-AF776022111C}" srcOrd="0" destOrd="0" presId="urn:microsoft.com/office/officeart/2008/layout/RadialCluster"/>
    <dgm:cxn modelId="{7F21688F-92B8-4CF6-AF1B-6B3961B8FD00}" type="presOf" srcId="{EA4163F1-8749-D944-99C8-1DF872C2BB22}" destId="{6EA871FC-A906-DF4D-8E72-5F3153E3EF42}" srcOrd="0" destOrd="0" presId="urn:microsoft.com/office/officeart/2008/layout/RadialCluster"/>
    <dgm:cxn modelId="{C847E2AD-14F1-4A2E-AA69-6E5F1728FBF0}" type="presOf" srcId="{DF2AE27B-A127-4E48-ABF0-FBF5A73311C5}" destId="{29D42C5A-92B5-6047-9B32-DCAF6230A2CE}" srcOrd="0" destOrd="0" presId="urn:microsoft.com/office/officeart/2008/layout/RadialCluster"/>
    <dgm:cxn modelId="{B2022CB6-CC41-034A-ACC2-3A3A8051C9C7}" srcId="{9F77E6A9-21EA-7A4D-9007-F8F89A422EA0}" destId="{292C22F5-F2D8-8747-A171-1D50D9931736}" srcOrd="0" destOrd="0" parTransId="{F41856D9-EC7B-FE4D-AA66-D58F96F8ACF0}" sibTransId="{B53F9589-3E0A-9647-AF08-805895798E9C}"/>
    <dgm:cxn modelId="{A4858FDB-9004-7E4D-BC72-4F508EEB6141}" srcId="{9F77E6A9-21EA-7A4D-9007-F8F89A422EA0}" destId="{DF2AE27B-A127-4E48-ABF0-FBF5A73311C5}" srcOrd="2" destOrd="0" parTransId="{CF4D16A3-31AB-4A4A-98FF-0B721C1546B0}" sibTransId="{BCA87AE9-FD94-6540-94E2-24C3A6DBE605}"/>
    <dgm:cxn modelId="{CF7FABE6-AA6B-43DD-BE15-F760C3D4F47D}" type="presOf" srcId="{2B0F53FD-399C-DA41-AC8C-92E7277D2A52}" destId="{6FA32ED9-47D9-D942-AB2E-3DAE440EF0E8}" srcOrd="0" destOrd="0" presId="urn:microsoft.com/office/officeart/2008/layout/RadialCluster"/>
    <dgm:cxn modelId="{B4D746E8-FAD6-3748-9084-A3015F80433E}" srcId="{9F77E6A9-21EA-7A4D-9007-F8F89A422EA0}" destId="{2B0F53FD-399C-DA41-AC8C-92E7277D2A52}" srcOrd="1" destOrd="0" parTransId="{EA4163F1-8749-D944-99C8-1DF872C2BB22}" sibTransId="{5B2550DD-A7AB-5241-8D60-F4E41BD0A3B5}"/>
    <dgm:cxn modelId="{6B8326E9-703A-4BCC-946E-99DEEFDEE3D0}" type="presOf" srcId="{9F77E6A9-21EA-7A4D-9007-F8F89A422EA0}" destId="{7571582B-E63D-9244-80D8-A811BE32382B}" srcOrd="0" destOrd="0" presId="urn:microsoft.com/office/officeart/2008/layout/RadialCluster"/>
    <dgm:cxn modelId="{EB58864F-495C-4A45-BB35-F537886D3F16}" type="presParOf" srcId="{B7C60D9B-56EE-FB41-8565-2B9F0593A413}" destId="{0F1BD8E0-DE29-FF4E-9C31-A2D3390D04A7}" srcOrd="0" destOrd="0" presId="urn:microsoft.com/office/officeart/2008/layout/RadialCluster"/>
    <dgm:cxn modelId="{DF7111D2-122D-4509-9424-6E95DB0B1990}" type="presParOf" srcId="{0F1BD8E0-DE29-FF4E-9C31-A2D3390D04A7}" destId="{7571582B-E63D-9244-80D8-A811BE32382B}" srcOrd="0" destOrd="0" presId="urn:microsoft.com/office/officeart/2008/layout/RadialCluster"/>
    <dgm:cxn modelId="{F835238A-9A7C-4C69-A560-656880469709}" type="presParOf" srcId="{0F1BD8E0-DE29-FF4E-9C31-A2D3390D04A7}" destId="{EFA5B77B-9299-0147-9693-3D53159BD118}" srcOrd="1" destOrd="0" presId="urn:microsoft.com/office/officeart/2008/layout/RadialCluster"/>
    <dgm:cxn modelId="{9E2C9BF9-4EEC-4A39-9F02-CB2C11C2EC73}" type="presParOf" srcId="{0F1BD8E0-DE29-FF4E-9C31-A2D3390D04A7}" destId="{8B0D271E-2848-4347-AD98-AF776022111C}" srcOrd="2" destOrd="0" presId="urn:microsoft.com/office/officeart/2008/layout/RadialCluster"/>
    <dgm:cxn modelId="{E3685D83-239B-42E3-BFDC-EEC17715BBD4}" type="presParOf" srcId="{0F1BD8E0-DE29-FF4E-9C31-A2D3390D04A7}" destId="{6EA871FC-A906-DF4D-8E72-5F3153E3EF42}" srcOrd="3" destOrd="0" presId="urn:microsoft.com/office/officeart/2008/layout/RadialCluster"/>
    <dgm:cxn modelId="{EE14B487-FE46-497E-AD5F-8997E87824B4}" type="presParOf" srcId="{0F1BD8E0-DE29-FF4E-9C31-A2D3390D04A7}" destId="{6FA32ED9-47D9-D942-AB2E-3DAE440EF0E8}" srcOrd="4" destOrd="0" presId="urn:microsoft.com/office/officeart/2008/layout/RadialCluster"/>
    <dgm:cxn modelId="{58DA69B2-DD83-4C51-ACB7-5D63F9022E0F}" type="presParOf" srcId="{0F1BD8E0-DE29-FF4E-9C31-A2D3390D04A7}" destId="{BE2C1921-1AEE-5A4A-8755-F3A5993550FD}" srcOrd="5" destOrd="0" presId="urn:microsoft.com/office/officeart/2008/layout/RadialCluster"/>
    <dgm:cxn modelId="{8D62FECD-F87E-4466-B073-6EB226927403}" type="presParOf" srcId="{0F1BD8E0-DE29-FF4E-9C31-A2D3390D04A7}" destId="{29D42C5A-92B5-6047-9B32-DCAF6230A2CE}" srcOrd="6"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1582B-E63D-9244-80D8-A811BE32382B}">
      <dsp:nvSpPr>
        <dsp:cNvPr id="0" name=""/>
        <dsp:cNvSpPr/>
      </dsp:nvSpPr>
      <dsp:spPr>
        <a:xfrm>
          <a:off x="1592661" y="996656"/>
          <a:ext cx="1283888" cy="728662"/>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latin typeface="Calibri"/>
              <a:ea typeface="+mn-ea"/>
              <a:cs typeface="+mn-cs"/>
            </a:rPr>
            <a:t>Commentary</a:t>
          </a:r>
        </a:p>
      </dsp:txBody>
      <dsp:txXfrm>
        <a:off x="1628231" y="1032226"/>
        <a:ext cx="1212748" cy="657522"/>
      </dsp:txXfrm>
    </dsp:sp>
    <dsp:sp modelId="{EFA5B77B-9299-0147-9693-3D53159BD118}">
      <dsp:nvSpPr>
        <dsp:cNvPr id="0" name=""/>
        <dsp:cNvSpPr/>
      </dsp:nvSpPr>
      <dsp:spPr>
        <a:xfrm rot="16200000">
          <a:off x="2045712" y="807763"/>
          <a:ext cx="377786" cy="0"/>
        </a:xfrm>
        <a:custGeom>
          <a:avLst/>
          <a:gdLst/>
          <a:ahLst/>
          <a:cxnLst/>
          <a:rect l="0" t="0" r="0" b="0"/>
          <a:pathLst>
            <a:path>
              <a:moveTo>
                <a:pt x="0" y="0"/>
              </a:moveTo>
              <a:lnTo>
                <a:pt x="67348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0D271E-2848-4347-AD98-AF776022111C}">
      <dsp:nvSpPr>
        <dsp:cNvPr id="0" name=""/>
        <dsp:cNvSpPr/>
      </dsp:nvSpPr>
      <dsp:spPr>
        <a:xfrm>
          <a:off x="1931380" y="130665"/>
          <a:ext cx="606451" cy="488203"/>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Connects</a:t>
          </a:r>
          <a:r>
            <a:rPr lang="en-US" sz="800" kern="1200">
              <a:solidFill>
                <a:sysClr val="windowText" lastClr="000000"/>
              </a:solidFill>
              <a:latin typeface="Calibri"/>
              <a:ea typeface="+mn-ea"/>
              <a:cs typeface="+mn-cs"/>
            </a:rPr>
            <a:t> evidence to claim</a:t>
          </a:r>
        </a:p>
      </dsp:txBody>
      <dsp:txXfrm>
        <a:off x="1955212" y="154497"/>
        <a:ext cx="558787" cy="440539"/>
      </dsp:txXfrm>
    </dsp:sp>
    <dsp:sp modelId="{6EA871FC-A906-DF4D-8E72-5F3153E3EF42}">
      <dsp:nvSpPr>
        <dsp:cNvPr id="0" name=""/>
        <dsp:cNvSpPr/>
      </dsp:nvSpPr>
      <dsp:spPr>
        <a:xfrm rot="2133602">
          <a:off x="2730670" y="1767662"/>
          <a:ext cx="145620" cy="0"/>
        </a:xfrm>
        <a:custGeom>
          <a:avLst/>
          <a:gdLst/>
          <a:ahLst/>
          <a:cxnLst/>
          <a:rect l="0" t="0" r="0" b="0"/>
          <a:pathLst>
            <a:path>
              <a:moveTo>
                <a:pt x="0" y="0"/>
              </a:moveTo>
              <a:lnTo>
                <a:pt x="245312"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A32ED9-47D9-D942-AB2E-3DAE440EF0E8}">
      <dsp:nvSpPr>
        <dsp:cNvPr id="0" name=""/>
        <dsp:cNvSpPr/>
      </dsp:nvSpPr>
      <dsp:spPr>
        <a:xfrm>
          <a:off x="2829566" y="1810005"/>
          <a:ext cx="749212" cy="488203"/>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Calibri"/>
              <a:ea typeface="+mn-ea"/>
              <a:cs typeface="+mn-cs"/>
            </a:rPr>
            <a:t>Explains</a:t>
          </a:r>
          <a:r>
            <a:rPr lang="en-US" sz="1100" kern="1200">
              <a:solidFill>
                <a:sysClr val="windowText" lastClr="000000"/>
              </a:solidFill>
              <a:latin typeface="Calibri"/>
              <a:ea typeface="+mn-ea"/>
              <a:cs typeface="+mn-cs"/>
            </a:rPr>
            <a:t> evidence</a:t>
          </a:r>
        </a:p>
      </dsp:txBody>
      <dsp:txXfrm>
        <a:off x="2853398" y="1833837"/>
        <a:ext cx="701548" cy="440539"/>
      </dsp:txXfrm>
    </dsp:sp>
    <dsp:sp modelId="{BE2C1921-1AEE-5A4A-8755-F3A5993550FD}">
      <dsp:nvSpPr>
        <dsp:cNvPr id="0" name=""/>
        <dsp:cNvSpPr/>
      </dsp:nvSpPr>
      <dsp:spPr>
        <a:xfrm rot="8666398">
          <a:off x="1592921" y="1767662"/>
          <a:ext cx="145620" cy="0"/>
        </a:xfrm>
        <a:custGeom>
          <a:avLst/>
          <a:gdLst/>
          <a:ahLst/>
          <a:cxnLst/>
          <a:rect l="0" t="0" r="0" b="0"/>
          <a:pathLst>
            <a:path>
              <a:moveTo>
                <a:pt x="0" y="0"/>
              </a:moveTo>
              <a:lnTo>
                <a:pt x="22779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D42C5A-92B5-6047-9B32-DCAF6230A2CE}">
      <dsp:nvSpPr>
        <dsp:cNvPr id="0" name=""/>
        <dsp:cNvSpPr/>
      </dsp:nvSpPr>
      <dsp:spPr>
        <a:xfrm>
          <a:off x="878920" y="1810005"/>
          <a:ext cx="772236" cy="488203"/>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Provides</a:t>
          </a:r>
          <a:r>
            <a:rPr lang="en-US" sz="800" kern="1200">
              <a:solidFill>
                <a:sysClr val="windowText" lastClr="000000"/>
              </a:solidFill>
              <a:latin typeface="Calibri"/>
              <a:ea typeface="+mn-ea"/>
              <a:cs typeface="+mn-cs"/>
            </a:rPr>
            <a:t> </a:t>
          </a:r>
          <a:r>
            <a:rPr lang="en-US" sz="800" b="1" kern="1200">
              <a:solidFill>
                <a:sysClr val="windowText" lastClr="000000"/>
              </a:solidFill>
              <a:latin typeface="Calibri"/>
              <a:ea typeface="+mn-ea"/>
              <a:cs typeface="+mn-cs"/>
            </a:rPr>
            <a:t>significance</a:t>
          </a:r>
          <a:r>
            <a:rPr lang="en-US" sz="800" kern="1200">
              <a:solidFill>
                <a:sysClr val="windowText" lastClr="000000"/>
              </a:solidFill>
              <a:latin typeface="Calibri"/>
              <a:ea typeface="+mn-ea"/>
              <a:cs typeface="+mn-cs"/>
            </a:rPr>
            <a:t> of evidence</a:t>
          </a:r>
        </a:p>
      </dsp:txBody>
      <dsp:txXfrm>
        <a:off x="902752" y="1833837"/>
        <a:ext cx="724572" cy="44053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5</cp:revision>
  <cp:lastPrinted>2018-06-05T11:36:00Z</cp:lastPrinted>
  <dcterms:created xsi:type="dcterms:W3CDTF">2013-12-05T18:27:00Z</dcterms:created>
  <dcterms:modified xsi:type="dcterms:W3CDTF">2018-06-05T11:36:00Z</dcterms:modified>
</cp:coreProperties>
</file>